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C5FB1" w14:textId="77777777" w:rsidR="00753DEE" w:rsidRDefault="00753DEE"/>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753DEE" w14:paraId="21DC4728" w14:textId="77777777">
        <w:trPr>
          <w:trHeight w:hRule="exact" w:val="2948"/>
        </w:trPr>
        <w:tc>
          <w:tcPr>
            <w:tcW w:w="11186" w:type="dxa"/>
          </w:tcPr>
          <w:p w14:paraId="6BCFE6F5" w14:textId="77777777" w:rsidR="00753DEE" w:rsidRDefault="00F02DE0">
            <w:pPr>
              <w:pStyle w:val="Documenttype"/>
            </w:pPr>
            <w:r>
              <w:t xml:space="preserve">IALA </w:t>
            </w:r>
            <w:r>
              <w:rPr>
                <w:lang w:val="en"/>
              </w:rPr>
              <w:t>GUIDELINE</w:t>
            </w:r>
          </w:p>
        </w:tc>
      </w:tr>
    </w:tbl>
    <w:p w14:paraId="1AA290A4" w14:textId="77777777" w:rsidR="00753DEE" w:rsidRDefault="00753DEE">
      <w:pPr>
        <w:spacing w:after="0"/>
        <w:rPr>
          <w:sz w:val="18"/>
          <w:szCs w:val="18"/>
        </w:rPr>
      </w:pPr>
    </w:p>
    <w:p w14:paraId="6993A583" w14:textId="77777777" w:rsidR="00753DEE" w:rsidRDefault="00753DEE">
      <w:pPr>
        <w:spacing w:after="0"/>
        <w:rPr>
          <w:sz w:val="18"/>
          <w:szCs w:val="18"/>
        </w:rPr>
      </w:pPr>
    </w:p>
    <w:p w14:paraId="60418CCC" w14:textId="77777777" w:rsidR="00753DEE" w:rsidRDefault="00F02DE0">
      <w:pPr>
        <w:pStyle w:val="Documentnumber"/>
        <w:spacing w:after="0" w:line="220" w:lineRule="atLeast"/>
      </w:pPr>
      <w:r>
        <w:t>G</w:t>
      </w:r>
      <w:r>
        <w:rPr>
          <w:lang w:eastAsia="ko-KR"/>
        </w:rPr>
        <w:t>XXXX</w:t>
      </w:r>
      <w:r>
        <w:t xml:space="preserve"> </w:t>
      </w:r>
    </w:p>
    <w:p w14:paraId="4DC351C3" w14:textId="77777777" w:rsidR="00753DEE" w:rsidRDefault="00F02DE0">
      <w:pPr>
        <w:pStyle w:val="Documentname"/>
        <w:spacing w:after="0" w:line="220" w:lineRule="atLeast"/>
        <w:rPr>
          <w:lang w:val="en"/>
        </w:rPr>
      </w:pPr>
      <w:r>
        <w:rPr>
          <w:lang w:val="en"/>
        </w:rPr>
        <w:t xml:space="preserve">IALA MArine </w:t>
      </w:r>
      <w:proofErr w:type="gramStart"/>
      <w:r>
        <w:rPr>
          <w:lang w:val="en"/>
        </w:rPr>
        <w:t>Aids To</w:t>
      </w:r>
      <w:proofErr w:type="gramEnd"/>
      <w:r>
        <w:rPr>
          <w:lang w:val="en"/>
        </w:rPr>
        <w:t xml:space="preserve"> Navigation (ATON) SERVICE DESIGN</w:t>
      </w:r>
    </w:p>
    <w:p w14:paraId="59249602" w14:textId="77777777" w:rsidR="00753DEE" w:rsidRDefault="00F02DE0">
      <w:pPr>
        <w:pStyle w:val="Documentname"/>
        <w:spacing w:after="0" w:line="220" w:lineRule="atLeast"/>
      </w:pPr>
      <w:r>
        <w:rPr>
          <w:lang w:val="en"/>
        </w:rPr>
        <w:t>provision of AtoN information to End-Users over IEC 63173-2 (SECOM)</w:t>
      </w:r>
    </w:p>
    <w:p w14:paraId="6B9BA157" w14:textId="77777777" w:rsidR="00753DEE" w:rsidRDefault="00753DEE">
      <w:pPr>
        <w:spacing w:after="0"/>
        <w:rPr>
          <w:sz w:val="18"/>
          <w:szCs w:val="18"/>
        </w:rPr>
      </w:pPr>
    </w:p>
    <w:p w14:paraId="4C8985E8" w14:textId="77777777" w:rsidR="00753DEE" w:rsidRDefault="00753DEE">
      <w:pPr>
        <w:spacing w:after="0"/>
        <w:rPr>
          <w:sz w:val="18"/>
          <w:szCs w:val="18"/>
        </w:rPr>
      </w:pPr>
    </w:p>
    <w:p w14:paraId="52E3067F" w14:textId="77777777" w:rsidR="00753DEE" w:rsidRDefault="00753DEE">
      <w:pPr>
        <w:spacing w:after="0"/>
        <w:rPr>
          <w:sz w:val="18"/>
          <w:szCs w:val="18"/>
        </w:rPr>
      </w:pPr>
    </w:p>
    <w:p w14:paraId="6A7D2195" w14:textId="77777777" w:rsidR="00753DEE" w:rsidRDefault="00F02DE0">
      <w:pPr>
        <w:tabs>
          <w:tab w:val="left" w:pos="6240"/>
        </w:tabs>
        <w:spacing w:after="0"/>
        <w:rPr>
          <w:sz w:val="18"/>
          <w:szCs w:val="18"/>
        </w:rPr>
      </w:pPr>
      <w:r>
        <w:rPr>
          <w:sz w:val="18"/>
          <w:szCs w:val="18"/>
        </w:rPr>
        <w:tab/>
      </w:r>
    </w:p>
    <w:p w14:paraId="5D7E3D19" w14:textId="77777777" w:rsidR="00753DEE" w:rsidRDefault="00753DEE">
      <w:pPr>
        <w:spacing w:after="0"/>
        <w:rPr>
          <w:sz w:val="18"/>
          <w:szCs w:val="18"/>
        </w:rPr>
      </w:pPr>
    </w:p>
    <w:p w14:paraId="4EFADE78" w14:textId="77777777" w:rsidR="00753DEE" w:rsidRDefault="00753DEE">
      <w:pPr>
        <w:spacing w:after="0"/>
        <w:rPr>
          <w:sz w:val="18"/>
          <w:szCs w:val="18"/>
        </w:rPr>
      </w:pPr>
    </w:p>
    <w:p w14:paraId="09357B23" w14:textId="77777777" w:rsidR="00753DEE" w:rsidRDefault="00753DEE">
      <w:pPr>
        <w:spacing w:after="0"/>
        <w:rPr>
          <w:sz w:val="18"/>
          <w:szCs w:val="18"/>
        </w:rPr>
      </w:pPr>
    </w:p>
    <w:p w14:paraId="63C1A383" w14:textId="77777777" w:rsidR="00753DEE" w:rsidRDefault="00753DEE">
      <w:pPr>
        <w:spacing w:after="0"/>
        <w:rPr>
          <w:sz w:val="18"/>
          <w:szCs w:val="18"/>
        </w:rPr>
      </w:pPr>
    </w:p>
    <w:p w14:paraId="16AAC277" w14:textId="77777777" w:rsidR="00753DEE" w:rsidRDefault="00753DEE">
      <w:pPr>
        <w:spacing w:after="0"/>
        <w:rPr>
          <w:sz w:val="18"/>
          <w:szCs w:val="18"/>
        </w:rPr>
      </w:pPr>
    </w:p>
    <w:p w14:paraId="2FF31BF5" w14:textId="77777777" w:rsidR="00753DEE" w:rsidRDefault="00753DEE">
      <w:pPr>
        <w:spacing w:after="0"/>
        <w:rPr>
          <w:sz w:val="18"/>
          <w:szCs w:val="18"/>
        </w:rPr>
      </w:pPr>
    </w:p>
    <w:p w14:paraId="1C845FD8" w14:textId="77777777" w:rsidR="00753DEE" w:rsidRDefault="00753DEE">
      <w:pPr>
        <w:spacing w:after="0"/>
        <w:rPr>
          <w:sz w:val="18"/>
          <w:szCs w:val="18"/>
        </w:rPr>
      </w:pPr>
    </w:p>
    <w:p w14:paraId="1D5DB325" w14:textId="77777777" w:rsidR="00753DEE" w:rsidRDefault="00753DEE">
      <w:pPr>
        <w:spacing w:after="0"/>
        <w:rPr>
          <w:sz w:val="18"/>
          <w:szCs w:val="18"/>
        </w:rPr>
      </w:pPr>
    </w:p>
    <w:p w14:paraId="2EAE4578" w14:textId="77777777" w:rsidR="00753DEE" w:rsidRDefault="00F02DE0">
      <w:pPr>
        <w:pStyle w:val="Editionnumber"/>
        <w:spacing w:after="0"/>
      </w:pPr>
      <w:r>
        <w:t>Edition 1.0</w:t>
      </w:r>
    </w:p>
    <w:p w14:paraId="6EABDAD1" w14:textId="77777777" w:rsidR="00753DEE" w:rsidRDefault="00F02DE0">
      <w:pPr>
        <w:pStyle w:val="Documentdate"/>
        <w:spacing w:after="0"/>
      </w:pPr>
      <w:r>
        <w:rPr>
          <w:lang w:val="en"/>
        </w:rPr>
        <w:t xml:space="preserve">March </w:t>
      </w:r>
      <w:r>
        <w:t>202</w:t>
      </w:r>
      <w:r>
        <w:rPr>
          <w:lang w:val="en"/>
        </w:rPr>
        <w:t>6</w:t>
      </w:r>
    </w:p>
    <w:p w14:paraId="51F6760A" w14:textId="77777777" w:rsidR="00753DEE" w:rsidRDefault="00753DEE">
      <w:pPr>
        <w:spacing w:after="0"/>
        <w:rPr>
          <w:sz w:val="18"/>
          <w:szCs w:val="18"/>
        </w:rPr>
      </w:pPr>
    </w:p>
    <w:p w14:paraId="771B500C" w14:textId="77777777" w:rsidR="00753DEE" w:rsidRPr="00BB642F" w:rsidRDefault="00F02DE0">
      <w:pPr>
        <w:pStyle w:val="MRN"/>
        <w:sectPr w:rsidR="00753DEE" w:rsidRPr="00BB642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276" w:bottom="2494" w:left="1276" w:header="567" w:footer="760" w:gutter="0"/>
          <w:cols w:space="708"/>
        </w:sectPr>
      </w:pPr>
      <w:proofErr w:type="gramStart"/>
      <w:r w:rsidRPr="00BB642F">
        <w:t>urn:mrn</w:t>
      </w:r>
      <w:proofErr w:type="gramEnd"/>
      <w:r w:rsidRPr="00BB642F">
        <w:t>:iala:</w:t>
      </w:r>
      <w:proofErr w:type="gramStart"/>
      <w:r w:rsidRPr="00BB642F">
        <w:t>pub:g</w:t>
      </w:r>
      <w:r w:rsidRPr="00BB642F">
        <w:rPr>
          <w:lang w:eastAsia="ko-KR"/>
        </w:rPr>
        <w:t>XXXX</w:t>
      </w:r>
      <w:proofErr w:type="gramEnd"/>
      <w:r w:rsidRPr="00BB642F">
        <w:t>:ed.1.0</w:t>
      </w:r>
    </w:p>
    <w:p w14:paraId="6DDAC435" w14:textId="77777777" w:rsidR="00753DEE" w:rsidRDefault="00F02DE0">
      <w:pPr>
        <w:pStyle w:val="BodyText"/>
      </w:pPr>
      <w:r>
        <w:lastRenderedPageBreak/>
        <w:t>Revisions to this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6025"/>
        <w:gridCol w:w="2552"/>
      </w:tblGrid>
      <w:tr w:rsidR="00753DEE" w14:paraId="4370CF81" w14:textId="77777777">
        <w:tc>
          <w:tcPr>
            <w:tcW w:w="1908" w:type="dxa"/>
          </w:tcPr>
          <w:p w14:paraId="7CA61C29" w14:textId="77777777" w:rsidR="00753DEE" w:rsidRDefault="00F02DE0">
            <w:pPr>
              <w:pStyle w:val="Documentrevisiontabletitle"/>
            </w:pPr>
            <w:r>
              <w:t>Date</w:t>
            </w:r>
          </w:p>
        </w:tc>
        <w:tc>
          <w:tcPr>
            <w:tcW w:w="6025" w:type="dxa"/>
          </w:tcPr>
          <w:p w14:paraId="0B935B4A" w14:textId="77777777" w:rsidR="00753DEE" w:rsidRDefault="00F02DE0">
            <w:pPr>
              <w:pStyle w:val="Documentrevisiontabletitle"/>
            </w:pPr>
            <w:r>
              <w:t>Details</w:t>
            </w:r>
          </w:p>
        </w:tc>
        <w:tc>
          <w:tcPr>
            <w:tcW w:w="2552" w:type="dxa"/>
          </w:tcPr>
          <w:p w14:paraId="2F21EC3E" w14:textId="77777777" w:rsidR="00753DEE" w:rsidRDefault="00F02DE0">
            <w:pPr>
              <w:pStyle w:val="Documentrevisiontabletitle"/>
            </w:pPr>
            <w:r>
              <w:t>Approval</w:t>
            </w:r>
          </w:p>
        </w:tc>
      </w:tr>
      <w:tr w:rsidR="00753DEE" w14:paraId="38839B9A" w14:textId="77777777">
        <w:trPr>
          <w:trHeight w:val="851"/>
        </w:trPr>
        <w:tc>
          <w:tcPr>
            <w:tcW w:w="1908" w:type="dxa"/>
            <w:vAlign w:val="center"/>
          </w:tcPr>
          <w:p w14:paraId="59D55E8E" w14:textId="77777777" w:rsidR="00753DEE" w:rsidRDefault="00F02DE0">
            <w:pPr>
              <w:pStyle w:val="Tabletext"/>
            </w:pPr>
            <w:r>
              <w:rPr>
                <w:lang w:val="en"/>
              </w:rPr>
              <w:t xml:space="preserve">March </w:t>
            </w:r>
            <w:r>
              <w:t>202</w:t>
            </w:r>
            <w:r>
              <w:rPr>
                <w:lang w:val="en"/>
              </w:rPr>
              <w:t>6</w:t>
            </w:r>
          </w:p>
        </w:tc>
        <w:tc>
          <w:tcPr>
            <w:tcW w:w="6025" w:type="dxa"/>
            <w:vAlign w:val="center"/>
          </w:tcPr>
          <w:p w14:paraId="69994D7E" w14:textId="77777777" w:rsidR="00753DEE" w:rsidRDefault="00F02DE0">
            <w:pPr>
              <w:pStyle w:val="Tabletext"/>
            </w:pPr>
            <w:r>
              <w:t>First edition</w:t>
            </w:r>
          </w:p>
        </w:tc>
        <w:tc>
          <w:tcPr>
            <w:tcW w:w="2552" w:type="dxa"/>
            <w:vAlign w:val="center"/>
          </w:tcPr>
          <w:p w14:paraId="393EC7CB" w14:textId="77777777" w:rsidR="00753DEE" w:rsidRDefault="00753DEE">
            <w:pPr>
              <w:pStyle w:val="Tabletext"/>
            </w:pPr>
          </w:p>
        </w:tc>
      </w:tr>
      <w:tr w:rsidR="00753DEE" w14:paraId="6F055E79" w14:textId="77777777">
        <w:trPr>
          <w:trHeight w:val="851"/>
        </w:trPr>
        <w:tc>
          <w:tcPr>
            <w:tcW w:w="1908" w:type="dxa"/>
            <w:vAlign w:val="center"/>
          </w:tcPr>
          <w:p w14:paraId="2BF52928" w14:textId="77777777" w:rsidR="00753DEE" w:rsidRDefault="00753DEE">
            <w:pPr>
              <w:pStyle w:val="Tabletext"/>
            </w:pPr>
          </w:p>
        </w:tc>
        <w:tc>
          <w:tcPr>
            <w:tcW w:w="6025" w:type="dxa"/>
            <w:vAlign w:val="center"/>
          </w:tcPr>
          <w:p w14:paraId="77389E92" w14:textId="77777777" w:rsidR="00753DEE" w:rsidRDefault="00753DEE">
            <w:pPr>
              <w:pStyle w:val="Tabletext"/>
            </w:pPr>
          </w:p>
        </w:tc>
        <w:tc>
          <w:tcPr>
            <w:tcW w:w="2552" w:type="dxa"/>
            <w:vAlign w:val="center"/>
          </w:tcPr>
          <w:p w14:paraId="52284C56" w14:textId="77777777" w:rsidR="00753DEE" w:rsidRDefault="00753DEE">
            <w:pPr>
              <w:pStyle w:val="Tabletext"/>
            </w:pPr>
          </w:p>
        </w:tc>
      </w:tr>
      <w:tr w:rsidR="00753DEE" w14:paraId="4972E231" w14:textId="77777777">
        <w:trPr>
          <w:trHeight w:val="851"/>
        </w:trPr>
        <w:tc>
          <w:tcPr>
            <w:tcW w:w="1908" w:type="dxa"/>
            <w:vAlign w:val="center"/>
          </w:tcPr>
          <w:p w14:paraId="3C0642FD" w14:textId="77777777" w:rsidR="00753DEE" w:rsidRDefault="00753DEE">
            <w:pPr>
              <w:pStyle w:val="Tabletext"/>
            </w:pPr>
          </w:p>
        </w:tc>
        <w:tc>
          <w:tcPr>
            <w:tcW w:w="6025" w:type="dxa"/>
            <w:vAlign w:val="center"/>
          </w:tcPr>
          <w:p w14:paraId="5744C7A3" w14:textId="77777777" w:rsidR="00753DEE" w:rsidRDefault="00753DEE">
            <w:pPr>
              <w:pStyle w:val="Tabletext"/>
            </w:pPr>
          </w:p>
        </w:tc>
        <w:tc>
          <w:tcPr>
            <w:tcW w:w="2552" w:type="dxa"/>
            <w:vAlign w:val="center"/>
          </w:tcPr>
          <w:p w14:paraId="04ABAF5B" w14:textId="77777777" w:rsidR="00753DEE" w:rsidRDefault="00753DEE">
            <w:pPr>
              <w:pStyle w:val="Tabletext"/>
            </w:pPr>
          </w:p>
        </w:tc>
      </w:tr>
      <w:tr w:rsidR="00753DEE" w14:paraId="1728A463" w14:textId="77777777">
        <w:trPr>
          <w:trHeight w:val="851"/>
        </w:trPr>
        <w:tc>
          <w:tcPr>
            <w:tcW w:w="1908" w:type="dxa"/>
            <w:vAlign w:val="center"/>
          </w:tcPr>
          <w:p w14:paraId="575C4B1D" w14:textId="77777777" w:rsidR="00753DEE" w:rsidRDefault="00753DEE">
            <w:pPr>
              <w:pStyle w:val="Tabletext"/>
            </w:pPr>
          </w:p>
        </w:tc>
        <w:tc>
          <w:tcPr>
            <w:tcW w:w="6025" w:type="dxa"/>
            <w:vAlign w:val="center"/>
          </w:tcPr>
          <w:p w14:paraId="0ABA8529" w14:textId="77777777" w:rsidR="00753DEE" w:rsidRDefault="00753DEE">
            <w:pPr>
              <w:pStyle w:val="Tabletext"/>
            </w:pPr>
          </w:p>
        </w:tc>
        <w:tc>
          <w:tcPr>
            <w:tcW w:w="2552" w:type="dxa"/>
            <w:vAlign w:val="center"/>
          </w:tcPr>
          <w:p w14:paraId="30931F68" w14:textId="77777777" w:rsidR="00753DEE" w:rsidRDefault="00753DEE">
            <w:pPr>
              <w:pStyle w:val="Tabletext"/>
            </w:pPr>
          </w:p>
        </w:tc>
      </w:tr>
      <w:tr w:rsidR="00753DEE" w14:paraId="086C4367" w14:textId="77777777">
        <w:trPr>
          <w:trHeight w:val="851"/>
        </w:trPr>
        <w:tc>
          <w:tcPr>
            <w:tcW w:w="1908" w:type="dxa"/>
            <w:vAlign w:val="center"/>
          </w:tcPr>
          <w:p w14:paraId="0D372802" w14:textId="77777777" w:rsidR="00753DEE" w:rsidRDefault="00753DEE">
            <w:pPr>
              <w:pStyle w:val="Tabletext"/>
            </w:pPr>
          </w:p>
        </w:tc>
        <w:tc>
          <w:tcPr>
            <w:tcW w:w="6025" w:type="dxa"/>
            <w:vAlign w:val="center"/>
          </w:tcPr>
          <w:p w14:paraId="1806977E" w14:textId="77777777" w:rsidR="00753DEE" w:rsidRDefault="00753DEE">
            <w:pPr>
              <w:pStyle w:val="Tabletext"/>
            </w:pPr>
          </w:p>
        </w:tc>
        <w:tc>
          <w:tcPr>
            <w:tcW w:w="2552" w:type="dxa"/>
            <w:vAlign w:val="center"/>
          </w:tcPr>
          <w:p w14:paraId="4FEE6A2E" w14:textId="77777777" w:rsidR="00753DEE" w:rsidRDefault="00753DEE">
            <w:pPr>
              <w:pStyle w:val="Tabletext"/>
            </w:pPr>
          </w:p>
        </w:tc>
      </w:tr>
      <w:tr w:rsidR="00753DEE" w14:paraId="1AADB4D6" w14:textId="77777777">
        <w:trPr>
          <w:trHeight w:val="851"/>
        </w:trPr>
        <w:tc>
          <w:tcPr>
            <w:tcW w:w="1908" w:type="dxa"/>
            <w:vAlign w:val="center"/>
          </w:tcPr>
          <w:p w14:paraId="3C626DFB" w14:textId="77777777" w:rsidR="00753DEE" w:rsidRDefault="00753DEE">
            <w:pPr>
              <w:pStyle w:val="Tabletext"/>
            </w:pPr>
          </w:p>
        </w:tc>
        <w:tc>
          <w:tcPr>
            <w:tcW w:w="6025" w:type="dxa"/>
            <w:vAlign w:val="center"/>
          </w:tcPr>
          <w:p w14:paraId="27220C6E" w14:textId="77777777" w:rsidR="00753DEE" w:rsidRDefault="00753DEE">
            <w:pPr>
              <w:pStyle w:val="Tabletext"/>
            </w:pPr>
          </w:p>
        </w:tc>
        <w:tc>
          <w:tcPr>
            <w:tcW w:w="2552" w:type="dxa"/>
            <w:vAlign w:val="center"/>
          </w:tcPr>
          <w:p w14:paraId="60438E0F" w14:textId="77777777" w:rsidR="00753DEE" w:rsidRDefault="00753DEE">
            <w:pPr>
              <w:pStyle w:val="Tabletext"/>
            </w:pPr>
          </w:p>
        </w:tc>
      </w:tr>
      <w:tr w:rsidR="00753DEE" w14:paraId="3265716B" w14:textId="77777777">
        <w:trPr>
          <w:trHeight w:val="851"/>
        </w:trPr>
        <w:tc>
          <w:tcPr>
            <w:tcW w:w="1908" w:type="dxa"/>
            <w:vAlign w:val="center"/>
          </w:tcPr>
          <w:p w14:paraId="14FF31FD" w14:textId="77777777" w:rsidR="00753DEE" w:rsidRDefault="00753DEE">
            <w:pPr>
              <w:pStyle w:val="Tabletext"/>
            </w:pPr>
          </w:p>
        </w:tc>
        <w:tc>
          <w:tcPr>
            <w:tcW w:w="6025" w:type="dxa"/>
            <w:vAlign w:val="center"/>
          </w:tcPr>
          <w:p w14:paraId="1D2D6BE3" w14:textId="77777777" w:rsidR="00753DEE" w:rsidRDefault="00753DEE">
            <w:pPr>
              <w:pStyle w:val="Tabletext"/>
            </w:pPr>
          </w:p>
        </w:tc>
        <w:tc>
          <w:tcPr>
            <w:tcW w:w="2552" w:type="dxa"/>
            <w:vAlign w:val="center"/>
          </w:tcPr>
          <w:p w14:paraId="7290A70C" w14:textId="77777777" w:rsidR="00753DEE" w:rsidRDefault="00753DEE">
            <w:pPr>
              <w:pStyle w:val="Tabletext"/>
            </w:pPr>
          </w:p>
        </w:tc>
      </w:tr>
    </w:tbl>
    <w:p w14:paraId="78BCEBA9" w14:textId="77777777" w:rsidR="00753DEE" w:rsidRDefault="00753DEE"/>
    <w:p w14:paraId="02A9B1C7" w14:textId="77777777" w:rsidR="00753DEE" w:rsidRDefault="00753DEE">
      <w:pPr>
        <w:pStyle w:val="BodyText"/>
        <w:sectPr w:rsidR="00753DEE">
          <w:headerReference w:type="even" r:id="rId17"/>
          <w:headerReference w:type="default" r:id="rId18"/>
          <w:footerReference w:type="default" r:id="rId19"/>
          <w:headerReference w:type="first" r:id="rId20"/>
          <w:pgSz w:w="11906" w:h="16838"/>
          <w:pgMar w:top="567" w:right="794" w:bottom="567" w:left="907" w:header="567" w:footer="850" w:gutter="0"/>
          <w:cols w:space="708"/>
        </w:sectPr>
      </w:pPr>
    </w:p>
    <w:p w14:paraId="5185AFA9" w14:textId="5F3DF717" w:rsidR="00D918C7" w:rsidRDefault="00F02DE0">
      <w:pPr>
        <w:pStyle w:val="TOC1"/>
        <w:rPr>
          <w:b w:val="0"/>
          <w:caps w:val="0"/>
          <w:noProof/>
          <w:color w:val="auto"/>
          <w:kern w:val="2"/>
          <w:sz w:val="24"/>
          <w:szCs w:val="24"/>
          <w:lang w:eastAsia="en-GB"/>
          <w14:ligatures w14:val="standardContextual"/>
        </w:rPr>
      </w:pPr>
      <w:r>
        <w:rPr>
          <w:rFonts w:eastAsia="Times New Roman" w:cs="Times New Roman"/>
          <w:b w:val="0"/>
          <w:color w:val="auto"/>
          <w:szCs w:val="20"/>
        </w:rPr>
        <w:lastRenderedPageBreak/>
        <w:fldChar w:fldCharType="begin"/>
      </w:r>
      <w:r>
        <w:rPr>
          <w:rFonts w:eastAsia="Times New Roman" w:cs="Times New Roman"/>
          <w:szCs w:val="20"/>
        </w:rPr>
        <w:instrText xml:space="preserve"> TOC \o "1-3" \t "Annex title (Head 1),1,Appendix title (Head 1),1" </w:instrText>
      </w:r>
      <w:r>
        <w:rPr>
          <w:rFonts w:eastAsia="Times New Roman" w:cs="Times New Roman"/>
          <w:b w:val="0"/>
          <w:color w:val="auto"/>
          <w:szCs w:val="20"/>
        </w:rPr>
        <w:fldChar w:fldCharType="separate"/>
      </w:r>
      <w:r w:rsidR="00D918C7">
        <w:rPr>
          <w:noProof/>
        </w:rPr>
        <w:t>IALA Marine Aids to Navigation (AtoN) Service Design</w:t>
      </w:r>
      <w:r w:rsidR="00D918C7">
        <w:rPr>
          <w:noProof/>
        </w:rPr>
        <w:tab/>
      </w:r>
      <w:r w:rsidR="00D918C7">
        <w:rPr>
          <w:noProof/>
        </w:rPr>
        <w:fldChar w:fldCharType="begin"/>
      </w:r>
      <w:r w:rsidR="00D918C7">
        <w:rPr>
          <w:noProof/>
        </w:rPr>
        <w:instrText xml:space="preserve"> PAGEREF _Toc225155451 \h </w:instrText>
      </w:r>
      <w:r w:rsidR="00D918C7">
        <w:rPr>
          <w:noProof/>
        </w:rPr>
      </w:r>
      <w:r w:rsidR="00D918C7">
        <w:rPr>
          <w:noProof/>
        </w:rPr>
        <w:fldChar w:fldCharType="separate"/>
      </w:r>
      <w:r w:rsidR="00D918C7">
        <w:rPr>
          <w:noProof/>
        </w:rPr>
        <w:t>5</w:t>
      </w:r>
      <w:r w:rsidR="00D918C7">
        <w:rPr>
          <w:noProof/>
        </w:rPr>
        <w:fldChar w:fldCharType="end"/>
      </w:r>
    </w:p>
    <w:p w14:paraId="10B0D584" w14:textId="2F716AFD" w:rsidR="00D918C7" w:rsidRDefault="00D918C7">
      <w:pPr>
        <w:pStyle w:val="TOC1"/>
        <w:rPr>
          <w:b w:val="0"/>
          <w:caps w:val="0"/>
          <w:noProof/>
          <w:color w:val="auto"/>
          <w:kern w:val="2"/>
          <w:sz w:val="24"/>
          <w:szCs w:val="24"/>
          <w:lang w:eastAsia="en-GB"/>
          <w14:ligatures w14:val="standardContextual"/>
        </w:rPr>
      </w:pPr>
      <w:r w:rsidRPr="002518ED">
        <w:rPr>
          <w:noProof/>
        </w:rPr>
        <w:t>1.</w:t>
      </w:r>
      <w:r>
        <w:rPr>
          <w:b w:val="0"/>
          <w:caps w:val="0"/>
          <w:noProof/>
          <w:color w:val="auto"/>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_Toc225155452 \h </w:instrText>
      </w:r>
      <w:r>
        <w:rPr>
          <w:noProof/>
        </w:rPr>
      </w:r>
      <w:r>
        <w:rPr>
          <w:noProof/>
        </w:rPr>
        <w:fldChar w:fldCharType="separate"/>
      </w:r>
      <w:r>
        <w:rPr>
          <w:noProof/>
        </w:rPr>
        <w:t>5</w:t>
      </w:r>
      <w:r>
        <w:rPr>
          <w:noProof/>
        </w:rPr>
        <w:fldChar w:fldCharType="end"/>
      </w:r>
    </w:p>
    <w:p w14:paraId="6AFBEABD" w14:textId="127F5A9A" w:rsidR="00D918C7" w:rsidRDefault="00D918C7">
      <w:pPr>
        <w:pStyle w:val="TOC2"/>
        <w:rPr>
          <w:noProof/>
          <w:color w:val="auto"/>
          <w:kern w:val="2"/>
          <w:sz w:val="24"/>
          <w:szCs w:val="24"/>
          <w:lang w:eastAsia="en-GB"/>
          <w14:ligatures w14:val="standardContextual"/>
        </w:rPr>
      </w:pPr>
      <w:r w:rsidRPr="002518ED">
        <w:rPr>
          <w:noProof/>
        </w:rPr>
        <w:t>1.1.</w:t>
      </w:r>
      <w:r>
        <w:rPr>
          <w:noProof/>
          <w:color w:val="auto"/>
          <w:kern w:val="2"/>
          <w:sz w:val="24"/>
          <w:szCs w:val="24"/>
          <w:lang w:eastAsia="en-GB"/>
          <w14:ligatures w14:val="standardContextual"/>
        </w:rPr>
        <w:tab/>
      </w:r>
      <w:r>
        <w:rPr>
          <w:noProof/>
        </w:rPr>
        <w:t>Purpose of this Guideline</w:t>
      </w:r>
      <w:r>
        <w:rPr>
          <w:noProof/>
        </w:rPr>
        <w:tab/>
      </w:r>
      <w:r>
        <w:rPr>
          <w:noProof/>
        </w:rPr>
        <w:fldChar w:fldCharType="begin"/>
      </w:r>
      <w:r>
        <w:rPr>
          <w:noProof/>
        </w:rPr>
        <w:instrText xml:space="preserve"> PAGEREF _Toc225155453 \h </w:instrText>
      </w:r>
      <w:r>
        <w:rPr>
          <w:noProof/>
        </w:rPr>
      </w:r>
      <w:r>
        <w:rPr>
          <w:noProof/>
        </w:rPr>
        <w:fldChar w:fldCharType="separate"/>
      </w:r>
      <w:r>
        <w:rPr>
          <w:noProof/>
        </w:rPr>
        <w:t>5</w:t>
      </w:r>
      <w:r>
        <w:rPr>
          <w:noProof/>
        </w:rPr>
        <w:fldChar w:fldCharType="end"/>
      </w:r>
    </w:p>
    <w:p w14:paraId="5D6940EE" w14:textId="7BED09AC" w:rsidR="00D918C7" w:rsidRDefault="00D918C7">
      <w:pPr>
        <w:pStyle w:val="TOC2"/>
        <w:rPr>
          <w:noProof/>
          <w:color w:val="auto"/>
          <w:kern w:val="2"/>
          <w:sz w:val="24"/>
          <w:szCs w:val="24"/>
          <w:lang w:eastAsia="en-GB"/>
          <w14:ligatures w14:val="standardContextual"/>
        </w:rPr>
      </w:pPr>
      <w:r w:rsidRPr="002518ED">
        <w:rPr>
          <w:noProof/>
        </w:rPr>
        <w:t>1.2.</w:t>
      </w:r>
      <w:r>
        <w:rPr>
          <w:noProof/>
          <w:color w:val="auto"/>
          <w:kern w:val="2"/>
          <w:sz w:val="24"/>
          <w:szCs w:val="24"/>
          <w:lang w:eastAsia="en-GB"/>
          <w14:ligatures w14:val="standardContextual"/>
        </w:rPr>
        <w:tab/>
      </w:r>
      <w:r>
        <w:rPr>
          <w:noProof/>
        </w:rPr>
        <w:t>Intended Readership</w:t>
      </w:r>
      <w:r>
        <w:rPr>
          <w:noProof/>
        </w:rPr>
        <w:tab/>
      </w:r>
      <w:r>
        <w:rPr>
          <w:noProof/>
        </w:rPr>
        <w:fldChar w:fldCharType="begin"/>
      </w:r>
      <w:r>
        <w:rPr>
          <w:noProof/>
        </w:rPr>
        <w:instrText xml:space="preserve"> PAGEREF _Toc225155454 \h </w:instrText>
      </w:r>
      <w:r>
        <w:rPr>
          <w:noProof/>
        </w:rPr>
      </w:r>
      <w:r>
        <w:rPr>
          <w:noProof/>
        </w:rPr>
        <w:fldChar w:fldCharType="separate"/>
      </w:r>
      <w:r>
        <w:rPr>
          <w:noProof/>
        </w:rPr>
        <w:t>5</w:t>
      </w:r>
      <w:r>
        <w:rPr>
          <w:noProof/>
        </w:rPr>
        <w:fldChar w:fldCharType="end"/>
      </w:r>
    </w:p>
    <w:p w14:paraId="29ECD66F" w14:textId="3ED22022"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1.2.1.</w:t>
      </w:r>
      <w:r>
        <w:rPr>
          <w:noProof/>
          <w:color w:val="auto"/>
          <w:kern w:val="2"/>
          <w:sz w:val="24"/>
          <w:szCs w:val="24"/>
          <w:lang w:eastAsia="en-GB"/>
          <w14:ligatures w14:val="standardContextual"/>
        </w:rPr>
        <w:tab/>
      </w:r>
      <w:r>
        <w:rPr>
          <w:noProof/>
        </w:rPr>
        <w:t>Inputs from Other Sources</w:t>
      </w:r>
      <w:r>
        <w:rPr>
          <w:noProof/>
        </w:rPr>
        <w:tab/>
      </w:r>
      <w:r>
        <w:rPr>
          <w:noProof/>
        </w:rPr>
        <w:fldChar w:fldCharType="begin"/>
      </w:r>
      <w:r>
        <w:rPr>
          <w:noProof/>
        </w:rPr>
        <w:instrText xml:space="preserve"> PAGEREF _Toc225155455 \h </w:instrText>
      </w:r>
      <w:r>
        <w:rPr>
          <w:noProof/>
        </w:rPr>
      </w:r>
      <w:r>
        <w:rPr>
          <w:noProof/>
        </w:rPr>
        <w:fldChar w:fldCharType="separate"/>
      </w:r>
      <w:r>
        <w:rPr>
          <w:noProof/>
        </w:rPr>
        <w:t>5</w:t>
      </w:r>
      <w:r>
        <w:rPr>
          <w:noProof/>
        </w:rPr>
        <w:fldChar w:fldCharType="end"/>
      </w:r>
    </w:p>
    <w:p w14:paraId="7DEB3058" w14:textId="6BCA79E1" w:rsidR="00D918C7" w:rsidRDefault="00D918C7">
      <w:pPr>
        <w:pStyle w:val="TOC1"/>
        <w:rPr>
          <w:b w:val="0"/>
          <w:caps w:val="0"/>
          <w:noProof/>
          <w:color w:val="auto"/>
          <w:kern w:val="2"/>
          <w:sz w:val="24"/>
          <w:szCs w:val="24"/>
          <w:lang w:eastAsia="en-GB"/>
          <w14:ligatures w14:val="standardContextual"/>
        </w:rPr>
      </w:pPr>
      <w:r w:rsidRPr="002518ED">
        <w:rPr>
          <w:noProof/>
        </w:rPr>
        <w:t>2.</w:t>
      </w:r>
      <w:r>
        <w:rPr>
          <w:b w:val="0"/>
          <w:caps w:val="0"/>
          <w:noProof/>
          <w:color w:val="auto"/>
          <w:kern w:val="2"/>
          <w:sz w:val="24"/>
          <w:szCs w:val="24"/>
          <w:lang w:eastAsia="en-GB"/>
          <w14:ligatures w14:val="standardContextual"/>
        </w:rPr>
        <w:tab/>
      </w:r>
      <w:r>
        <w:rPr>
          <w:noProof/>
        </w:rPr>
        <w:t>Service Identification</w:t>
      </w:r>
      <w:r>
        <w:rPr>
          <w:noProof/>
        </w:rPr>
        <w:tab/>
      </w:r>
      <w:r>
        <w:rPr>
          <w:noProof/>
        </w:rPr>
        <w:fldChar w:fldCharType="begin"/>
      </w:r>
      <w:r>
        <w:rPr>
          <w:noProof/>
        </w:rPr>
        <w:instrText xml:space="preserve"> PAGEREF _Toc225155456 \h </w:instrText>
      </w:r>
      <w:r>
        <w:rPr>
          <w:noProof/>
        </w:rPr>
      </w:r>
      <w:r>
        <w:rPr>
          <w:noProof/>
        </w:rPr>
        <w:fldChar w:fldCharType="separate"/>
      </w:r>
      <w:r>
        <w:rPr>
          <w:noProof/>
        </w:rPr>
        <w:t>6</w:t>
      </w:r>
      <w:r>
        <w:rPr>
          <w:noProof/>
        </w:rPr>
        <w:fldChar w:fldCharType="end"/>
      </w:r>
    </w:p>
    <w:p w14:paraId="42AA9FDF" w14:textId="4E035256" w:rsidR="00D918C7" w:rsidRDefault="00D918C7">
      <w:pPr>
        <w:pStyle w:val="TOC1"/>
        <w:rPr>
          <w:b w:val="0"/>
          <w:caps w:val="0"/>
          <w:noProof/>
          <w:color w:val="auto"/>
          <w:kern w:val="2"/>
          <w:sz w:val="24"/>
          <w:szCs w:val="24"/>
          <w:lang w:eastAsia="en-GB"/>
          <w14:ligatures w14:val="standardContextual"/>
        </w:rPr>
      </w:pPr>
      <w:r w:rsidRPr="002518ED">
        <w:rPr>
          <w:noProof/>
        </w:rPr>
        <w:t>3.</w:t>
      </w:r>
      <w:r>
        <w:rPr>
          <w:b w:val="0"/>
          <w:caps w:val="0"/>
          <w:noProof/>
          <w:color w:val="auto"/>
          <w:kern w:val="2"/>
          <w:sz w:val="24"/>
          <w:szCs w:val="24"/>
          <w:lang w:eastAsia="en-GB"/>
          <w14:ligatures w14:val="standardContextual"/>
        </w:rPr>
        <w:tab/>
      </w:r>
      <w:r>
        <w:rPr>
          <w:noProof/>
        </w:rPr>
        <w:t>Technology Introduction</w:t>
      </w:r>
      <w:r>
        <w:rPr>
          <w:noProof/>
        </w:rPr>
        <w:tab/>
      </w:r>
      <w:r>
        <w:rPr>
          <w:noProof/>
        </w:rPr>
        <w:fldChar w:fldCharType="begin"/>
      </w:r>
      <w:r>
        <w:rPr>
          <w:noProof/>
        </w:rPr>
        <w:instrText xml:space="preserve"> PAGEREF _Toc225155457 \h </w:instrText>
      </w:r>
      <w:r>
        <w:rPr>
          <w:noProof/>
        </w:rPr>
      </w:r>
      <w:r>
        <w:rPr>
          <w:noProof/>
        </w:rPr>
        <w:fldChar w:fldCharType="separate"/>
      </w:r>
      <w:r>
        <w:rPr>
          <w:noProof/>
        </w:rPr>
        <w:t>7</w:t>
      </w:r>
      <w:r>
        <w:rPr>
          <w:noProof/>
        </w:rPr>
        <w:fldChar w:fldCharType="end"/>
      </w:r>
    </w:p>
    <w:p w14:paraId="26C40A40" w14:textId="2704A928" w:rsidR="00D918C7" w:rsidRDefault="00D918C7">
      <w:pPr>
        <w:pStyle w:val="TOC2"/>
        <w:rPr>
          <w:noProof/>
          <w:color w:val="auto"/>
          <w:kern w:val="2"/>
          <w:sz w:val="24"/>
          <w:szCs w:val="24"/>
          <w:lang w:eastAsia="en-GB"/>
          <w14:ligatures w14:val="standardContextual"/>
        </w:rPr>
      </w:pPr>
      <w:r w:rsidRPr="002518ED">
        <w:rPr>
          <w:noProof/>
        </w:rPr>
        <w:t>3.1.</w:t>
      </w:r>
      <w:r>
        <w:rPr>
          <w:noProof/>
          <w:color w:val="auto"/>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_Toc225155458 \h </w:instrText>
      </w:r>
      <w:r>
        <w:rPr>
          <w:noProof/>
        </w:rPr>
      </w:r>
      <w:r>
        <w:rPr>
          <w:noProof/>
        </w:rPr>
        <w:fldChar w:fldCharType="separate"/>
      </w:r>
      <w:r>
        <w:rPr>
          <w:noProof/>
        </w:rPr>
        <w:t>7</w:t>
      </w:r>
      <w:r>
        <w:rPr>
          <w:noProof/>
        </w:rPr>
        <w:fldChar w:fldCharType="end"/>
      </w:r>
    </w:p>
    <w:p w14:paraId="49CA03BA" w14:textId="659F8C22" w:rsidR="00D918C7" w:rsidRDefault="00D918C7">
      <w:pPr>
        <w:pStyle w:val="TOC2"/>
        <w:rPr>
          <w:noProof/>
          <w:color w:val="auto"/>
          <w:kern w:val="2"/>
          <w:sz w:val="24"/>
          <w:szCs w:val="24"/>
          <w:lang w:eastAsia="en-GB"/>
          <w14:ligatures w14:val="standardContextual"/>
        </w:rPr>
      </w:pPr>
      <w:r w:rsidRPr="002518ED">
        <w:rPr>
          <w:noProof/>
        </w:rPr>
        <w:t>3.2.</w:t>
      </w:r>
      <w:r>
        <w:rPr>
          <w:noProof/>
          <w:color w:val="auto"/>
          <w:kern w:val="2"/>
          <w:sz w:val="24"/>
          <w:szCs w:val="24"/>
          <w:lang w:eastAsia="en-GB"/>
          <w14:ligatures w14:val="standardContextual"/>
        </w:rPr>
        <w:tab/>
      </w:r>
      <w:r>
        <w:rPr>
          <w:noProof/>
        </w:rPr>
        <w:t>Service Technology and Service Transportation Protocol</w:t>
      </w:r>
      <w:r>
        <w:rPr>
          <w:noProof/>
        </w:rPr>
        <w:tab/>
      </w:r>
      <w:r>
        <w:rPr>
          <w:noProof/>
        </w:rPr>
        <w:fldChar w:fldCharType="begin"/>
      </w:r>
      <w:r>
        <w:rPr>
          <w:noProof/>
        </w:rPr>
        <w:instrText xml:space="preserve"> PAGEREF _Toc225155459 \h </w:instrText>
      </w:r>
      <w:r>
        <w:rPr>
          <w:noProof/>
        </w:rPr>
      </w:r>
      <w:r>
        <w:rPr>
          <w:noProof/>
        </w:rPr>
        <w:fldChar w:fldCharType="separate"/>
      </w:r>
      <w:r>
        <w:rPr>
          <w:noProof/>
        </w:rPr>
        <w:t>7</w:t>
      </w:r>
      <w:r>
        <w:rPr>
          <w:noProof/>
        </w:rPr>
        <w:fldChar w:fldCharType="end"/>
      </w:r>
    </w:p>
    <w:p w14:paraId="65FDE58A" w14:textId="2564E59C" w:rsidR="00D918C7" w:rsidRDefault="00D918C7">
      <w:pPr>
        <w:pStyle w:val="TOC2"/>
        <w:rPr>
          <w:noProof/>
          <w:color w:val="auto"/>
          <w:kern w:val="2"/>
          <w:sz w:val="24"/>
          <w:szCs w:val="24"/>
          <w:lang w:eastAsia="en-GB"/>
          <w14:ligatures w14:val="standardContextual"/>
        </w:rPr>
      </w:pPr>
      <w:r w:rsidRPr="002518ED">
        <w:rPr>
          <w:noProof/>
        </w:rPr>
        <w:t>3.3.</w:t>
      </w:r>
      <w:r>
        <w:rPr>
          <w:noProof/>
          <w:color w:val="auto"/>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_Toc225155460 \h </w:instrText>
      </w:r>
      <w:r>
        <w:rPr>
          <w:noProof/>
        </w:rPr>
      </w:r>
      <w:r>
        <w:rPr>
          <w:noProof/>
        </w:rPr>
        <w:fldChar w:fldCharType="separate"/>
      </w:r>
      <w:r>
        <w:rPr>
          <w:noProof/>
        </w:rPr>
        <w:t>7</w:t>
      </w:r>
      <w:r>
        <w:rPr>
          <w:noProof/>
        </w:rPr>
        <w:fldChar w:fldCharType="end"/>
      </w:r>
    </w:p>
    <w:p w14:paraId="585BB958" w14:textId="0954331D"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3.3.1.</w:t>
      </w:r>
      <w:r>
        <w:rPr>
          <w:noProof/>
          <w:color w:val="auto"/>
          <w:kern w:val="2"/>
          <w:sz w:val="24"/>
          <w:szCs w:val="24"/>
          <w:lang w:eastAsia="en-GB"/>
          <w14:ligatures w14:val="standardContextual"/>
        </w:rPr>
        <w:tab/>
      </w:r>
      <w:r>
        <w:rPr>
          <w:noProof/>
        </w:rPr>
        <w:t>Communication Channel Security</w:t>
      </w:r>
      <w:r>
        <w:rPr>
          <w:noProof/>
        </w:rPr>
        <w:tab/>
      </w:r>
      <w:r>
        <w:rPr>
          <w:noProof/>
        </w:rPr>
        <w:fldChar w:fldCharType="begin"/>
      </w:r>
      <w:r>
        <w:rPr>
          <w:noProof/>
        </w:rPr>
        <w:instrText xml:space="preserve"> PAGEREF _Toc225155461 \h </w:instrText>
      </w:r>
      <w:r>
        <w:rPr>
          <w:noProof/>
        </w:rPr>
      </w:r>
      <w:r>
        <w:rPr>
          <w:noProof/>
        </w:rPr>
        <w:fldChar w:fldCharType="separate"/>
      </w:r>
      <w:r>
        <w:rPr>
          <w:noProof/>
        </w:rPr>
        <w:t>7</w:t>
      </w:r>
      <w:r>
        <w:rPr>
          <w:noProof/>
        </w:rPr>
        <w:fldChar w:fldCharType="end"/>
      </w:r>
    </w:p>
    <w:p w14:paraId="51E2597B" w14:textId="035C19A9"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3.3.2.</w:t>
      </w:r>
      <w:r>
        <w:rPr>
          <w:noProof/>
          <w:color w:val="auto"/>
          <w:kern w:val="2"/>
          <w:sz w:val="24"/>
          <w:szCs w:val="24"/>
          <w:lang w:eastAsia="en-GB"/>
          <w14:ligatures w14:val="standardContextual"/>
        </w:rPr>
        <w:tab/>
      </w:r>
      <w:r>
        <w:rPr>
          <w:noProof/>
        </w:rPr>
        <w:t>Data Protection</w:t>
      </w:r>
      <w:r>
        <w:rPr>
          <w:noProof/>
        </w:rPr>
        <w:tab/>
      </w:r>
      <w:r>
        <w:rPr>
          <w:noProof/>
        </w:rPr>
        <w:fldChar w:fldCharType="begin"/>
      </w:r>
      <w:r>
        <w:rPr>
          <w:noProof/>
        </w:rPr>
        <w:instrText xml:space="preserve"> PAGEREF _Toc225155462 \h </w:instrText>
      </w:r>
      <w:r>
        <w:rPr>
          <w:noProof/>
        </w:rPr>
      </w:r>
      <w:r>
        <w:rPr>
          <w:noProof/>
        </w:rPr>
        <w:fldChar w:fldCharType="separate"/>
      </w:r>
      <w:r>
        <w:rPr>
          <w:noProof/>
        </w:rPr>
        <w:t>7</w:t>
      </w:r>
      <w:r>
        <w:rPr>
          <w:noProof/>
        </w:rPr>
        <w:fldChar w:fldCharType="end"/>
      </w:r>
    </w:p>
    <w:p w14:paraId="738FAED4" w14:textId="65620EC9"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3.3.3.</w:t>
      </w:r>
      <w:r>
        <w:rPr>
          <w:noProof/>
          <w:color w:val="auto"/>
          <w:kern w:val="2"/>
          <w:sz w:val="24"/>
          <w:szCs w:val="24"/>
          <w:lang w:eastAsia="en-GB"/>
          <w14:ligatures w14:val="standardContextual"/>
        </w:rPr>
        <w:tab/>
      </w:r>
      <w:r>
        <w:rPr>
          <w:noProof/>
        </w:rPr>
        <w:t>Data Signature</w:t>
      </w:r>
      <w:r>
        <w:rPr>
          <w:noProof/>
        </w:rPr>
        <w:tab/>
      </w:r>
      <w:r>
        <w:rPr>
          <w:noProof/>
        </w:rPr>
        <w:fldChar w:fldCharType="begin"/>
      </w:r>
      <w:r>
        <w:rPr>
          <w:noProof/>
        </w:rPr>
        <w:instrText xml:space="preserve"> PAGEREF _Toc225155463 \h </w:instrText>
      </w:r>
      <w:r>
        <w:rPr>
          <w:noProof/>
        </w:rPr>
      </w:r>
      <w:r>
        <w:rPr>
          <w:noProof/>
        </w:rPr>
        <w:fldChar w:fldCharType="separate"/>
      </w:r>
      <w:r>
        <w:rPr>
          <w:noProof/>
        </w:rPr>
        <w:t>7</w:t>
      </w:r>
      <w:r>
        <w:rPr>
          <w:noProof/>
        </w:rPr>
        <w:fldChar w:fldCharType="end"/>
      </w:r>
    </w:p>
    <w:p w14:paraId="6A32F17A" w14:textId="4E3439D4"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3.3.4.</w:t>
      </w:r>
      <w:r>
        <w:rPr>
          <w:noProof/>
          <w:color w:val="auto"/>
          <w:kern w:val="2"/>
          <w:sz w:val="24"/>
          <w:szCs w:val="24"/>
          <w:lang w:eastAsia="en-GB"/>
          <w14:ligatures w14:val="standardContextual"/>
        </w:rPr>
        <w:tab/>
      </w:r>
      <w:r>
        <w:rPr>
          <w:noProof/>
        </w:rPr>
        <w:t>Data Encryption</w:t>
      </w:r>
      <w:r>
        <w:rPr>
          <w:noProof/>
        </w:rPr>
        <w:tab/>
      </w:r>
      <w:r>
        <w:rPr>
          <w:noProof/>
        </w:rPr>
        <w:fldChar w:fldCharType="begin"/>
      </w:r>
      <w:r>
        <w:rPr>
          <w:noProof/>
        </w:rPr>
        <w:instrText xml:space="preserve"> PAGEREF _Toc225155464 \h </w:instrText>
      </w:r>
      <w:r>
        <w:rPr>
          <w:noProof/>
        </w:rPr>
      </w:r>
      <w:r>
        <w:rPr>
          <w:noProof/>
        </w:rPr>
        <w:fldChar w:fldCharType="separate"/>
      </w:r>
      <w:r>
        <w:rPr>
          <w:noProof/>
        </w:rPr>
        <w:t>7</w:t>
      </w:r>
      <w:r>
        <w:rPr>
          <w:noProof/>
        </w:rPr>
        <w:fldChar w:fldCharType="end"/>
      </w:r>
    </w:p>
    <w:p w14:paraId="3F66B5E7" w14:textId="1984A0D9" w:rsidR="00D918C7" w:rsidRDefault="00D918C7">
      <w:pPr>
        <w:pStyle w:val="TOC1"/>
        <w:rPr>
          <w:b w:val="0"/>
          <w:caps w:val="0"/>
          <w:noProof/>
          <w:color w:val="auto"/>
          <w:kern w:val="2"/>
          <w:sz w:val="24"/>
          <w:szCs w:val="24"/>
          <w:lang w:eastAsia="en-GB"/>
          <w14:ligatures w14:val="standardContextual"/>
        </w:rPr>
      </w:pPr>
      <w:r w:rsidRPr="002518ED">
        <w:rPr>
          <w:noProof/>
        </w:rPr>
        <w:t>4.</w:t>
      </w:r>
      <w:r>
        <w:rPr>
          <w:b w:val="0"/>
          <w:caps w:val="0"/>
          <w:noProof/>
          <w:color w:val="auto"/>
          <w:kern w:val="2"/>
          <w:sz w:val="24"/>
          <w:szCs w:val="24"/>
          <w:lang w:eastAsia="en-GB"/>
          <w14:ligatures w14:val="standardContextual"/>
        </w:rPr>
        <w:tab/>
      </w:r>
      <w:r>
        <w:rPr>
          <w:noProof/>
        </w:rPr>
        <w:t>Service Overview</w:t>
      </w:r>
      <w:r>
        <w:rPr>
          <w:noProof/>
        </w:rPr>
        <w:tab/>
      </w:r>
      <w:r>
        <w:rPr>
          <w:noProof/>
        </w:rPr>
        <w:fldChar w:fldCharType="begin"/>
      </w:r>
      <w:r>
        <w:rPr>
          <w:noProof/>
        </w:rPr>
        <w:instrText xml:space="preserve"> PAGEREF _Toc225155465 \h </w:instrText>
      </w:r>
      <w:r>
        <w:rPr>
          <w:noProof/>
        </w:rPr>
      </w:r>
      <w:r>
        <w:rPr>
          <w:noProof/>
        </w:rPr>
        <w:fldChar w:fldCharType="separate"/>
      </w:r>
      <w:r>
        <w:rPr>
          <w:noProof/>
        </w:rPr>
        <w:t>9</w:t>
      </w:r>
      <w:r>
        <w:rPr>
          <w:noProof/>
        </w:rPr>
        <w:fldChar w:fldCharType="end"/>
      </w:r>
    </w:p>
    <w:p w14:paraId="625D3DED" w14:textId="079E37C4" w:rsidR="00D918C7" w:rsidRDefault="00D918C7">
      <w:pPr>
        <w:pStyle w:val="TOC2"/>
        <w:rPr>
          <w:noProof/>
          <w:color w:val="auto"/>
          <w:kern w:val="2"/>
          <w:sz w:val="24"/>
          <w:szCs w:val="24"/>
          <w:lang w:eastAsia="en-GB"/>
          <w14:ligatures w14:val="standardContextual"/>
        </w:rPr>
      </w:pPr>
      <w:r w:rsidRPr="002518ED">
        <w:rPr>
          <w:noProof/>
        </w:rPr>
        <w:t>4.1.</w:t>
      </w:r>
      <w:r>
        <w:rPr>
          <w:noProof/>
          <w:color w:val="auto"/>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_Toc225155466 \h </w:instrText>
      </w:r>
      <w:r>
        <w:rPr>
          <w:noProof/>
        </w:rPr>
      </w:r>
      <w:r>
        <w:rPr>
          <w:noProof/>
        </w:rPr>
        <w:fldChar w:fldCharType="separate"/>
      </w:r>
      <w:r>
        <w:rPr>
          <w:noProof/>
        </w:rPr>
        <w:t>9</w:t>
      </w:r>
      <w:r>
        <w:rPr>
          <w:noProof/>
        </w:rPr>
        <w:fldChar w:fldCharType="end"/>
      </w:r>
    </w:p>
    <w:p w14:paraId="2E1D933A" w14:textId="0C6B0CD1" w:rsidR="00D918C7" w:rsidRDefault="00D918C7">
      <w:pPr>
        <w:pStyle w:val="TOC2"/>
        <w:rPr>
          <w:noProof/>
          <w:color w:val="auto"/>
          <w:kern w:val="2"/>
          <w:sz w:val="24"/>
          <w:szCs w:val="24"/>
          <w:lang w:eastAsia="en-GB"/>
          <w14:ligatures w14:val="standardContextual"/>
        </w:rPr>
      </w:pPr>
      <w:r w:rsidRPr="002518ED">
        <w:rPr>
          <w:noProof/>
        </w:rPr>
        <w:t>4.2.</w:t>
      </w:r>
      <w:r>
        <w:rPr>
          <w:noProof/>
          <w:color w:val="auto"/>
          <w:kern w:val="2"/>
          <w:sz w:val="24"/>
          <w:szCs w:val="24"/>
          <w:lang w:eastAsia="en-GB"/>
          <w14:ligatures w14:val="standardContextual"/>
        </w:rPr>
        <w:tab/>
      </w:r>
      <w:r>
        <w:rPr>
          <w:noProof/>
        </w:rPr>
        <w:t>Service Interfaces</w:t>
      </w:r>
      <w:r>
        <w:rPr>
          <w:noProof/>
        </w:rPr>
        <w:tab/>
      </w:r>
      <w:r>
        <w:rPr>
          <w:noProof/>
        </w:rPr>
        <w:fldChar w:fldCharType="begin"/>
      </w:r>
      <w:r>
        <w:rPr>
          <w:noProof/>
        </w:rPr>
        <w:instrText xml:space="preserve"> PAGEREF _Toc225155467 \h </w:instrText>
      </w:r>
      <w:r>
        <w:rPr>
          <w:noProof/>
        </w:rPr>
      </w:r>
      <w:r>
        <w:rPr>
          <w:noProof/>
        </w:rPr>
        <w:fldChar w:fldCharType="separate"/>
      </w:r>
      <w:r>
        <w:rPr>
          <w:noProof/>
        </w:rPr>
        <w:t>9</w:t>
      </w:r>
      <w:r>
        <w:rPr>
          <w:noProof/>
        </w:rPr>
        <w:fldChar w:fldCharType="end"/>
      </w:r>
    </w:p>
    <w:p w14:paraId="3FA5E1A6" w14:textId="3DA6CAC4" w:rsidR="00D918C7" w:rsidRDefault="00D918C7">
      <w:pPr>
        <w:pStyle w:val="TOC2"/>
        <w:rPr>
          <w:noProof/>
          <w:color w:val="auto"/>
          <w:kern w:val="2"/>
          <w:sz w:val="24"/>
          <w:szCs w:val="24"/>
          <w:lang w:eastAsia="en-GB"/>
          <w14:ligatures w14:val="standardContextual"/>
        </w:rPr>
      </w:pPr>
      <w:r w:rsidRPr="002518ED">
        <w:rPr>
          <w:noProof/>
        </w:rPr>
        <w:t>4.3.</w:t>
      </w:r>
      <w:r>
        <w:rPr>
          <w:noProof/>
          <w:color w:val="auto"/>
          <w:kern w:val="2"/>
          <w:sz w:val="24"/>
          <w:szCs w:val="24"/>
          <w:lang w:eastAsia="en-GB"/>
          <w14:ligatures w14:val="standardContextual"/>
        </w:rPr>
        <w:tab/>
      </w:r>
      <w:r>
        <w:rPr>
          <w:noProof/>
        </w:rPr>
        <w:t>Service Discovery</w:t>
      </w:r>
      <w:r>
        <w:rPr>
          <w:noProof/>
        </w:rPr>
        <w:tab/>
      </w:r>
      <w:r>
        <w:rPr>
          <w:noProof/>
        </w:rPr>
        <w:fldChar w:fldCharType="begin"/>
      </w:r>
      <w:r>
        <w:rPr>
          <w:noProof/>
        </w:rPr>
        <w:instrText xml:space="preserve"> PAGEREF _Toc225155468 \h </w:instrText>
      </w:r>
      <w:r>
        <w:rPr>
          <w:noProof/>
        </w:rPr>
      </w:r>
      <w:r>
        <w:rPr>
          <w:noProof/>
        </w:rPr>
        <w:fldChar w:fldCharType="separate"/>
      </w:r>
      <w:r>
        <w:rPr>
          <w:noProof/>
        </w:rPr>
        <w:t>10</w:t>
      </w:r>
      <w:r>
        <w:rPr>
          <w:noProof/>
        </w:rPr>
        <w:fldChar w:fldCharType="end"/>
      </w:r>
    </w:p>
    <w:p w14:paraId="59CE8561" w14:textId="7C28FDBE" w:rsidR="00D918C7" w:rsidRDefault="00D918C7">
      <w:pPr>
        <w:pStyle w:val="TOC1"/>
        <w:rPr>
          <w:b w:val="0"/>
          <w:caps w:val="0"/>
          <w:noProof/>
          <w:color w:val="auto"/>
          <w:kern w:val="2"/>
          <w:sz w:val="24"/>
          <w:szCs w:val="24"/>
          <w:lang w:eastAsia="en-GB"/>
          <w14:ligatures w14:val="standardContextual"/>
        </w:rPr>
      </w:pPr>
      <w:r w:rsidRPr="002518ED">
        <w:rPr>
          <w:noProof/>
        </w:rPr>
        <w:t>5.</w:t>
      </w:r>
      <w:r>
        <w:rPr>
          <w:b w:val="0"/>
          <w:caps w:val="0"/>
          <w:noProof/>
          <w:color w:val="auto"/>
          <w:kern w:val="2"/>
          <w:sz w:val="24"/>
          <w:szCs w:val="24"/>
          <w:lang w:eastAsia="en-GB"/>
          <w14:ligatures w14:val="standardContextual"/>
        </w:rPr>
        <w:tab/>
      </w:r>
      <w:r>
        <w:rPr>
          <w:noProof/>
        </w:rPr>
        <w:t>Service Data Model</w:t>
      </w:r>
      <w:r>
        <w:rPr>
          <w:noProof/>
        </w:rPr>
        <w:tab/>
      </w:r>
      <w:r>
        <w:rPr>
          <w:noProof/>
        </w:rPr>
        <w:fldChar w:fldCharType="begin"/>
      </w:r>
      <w:r>
        <w:rPr>
          <w:noProof/>
        </w:rPr>
        <w:instrText xml:space="preserve"> PAGEREF _Toc225155469 \h </w:instrText>
      </w:r>
      <w:r>
        <w:rPr>
          <w:noProof/>
        </w:rPr>
      </w:r>
      <w:r>
        <w:rPr>
          <w:noProof/>
        </w:rPr>
        <w:fldChar w:fldCharType="separate"/>
      </w:r>
      <w:r>
        <w:rPr>
          <w:noProof/>
        </w:rPr>
        <w:t>11</w:t>
      </w:r>
      <w:r>
        <w:rPr>
          <w:noProof/>
        </w:rPr>
        <w:fldChar w:fldCharType="end"/>
      </w:r>
    </w:p>
    <w:p w14:paraId="62DFBF8A" w14:textId="1F9624F7" w:rsidR="00D918C7" w:rsidRDefault="00D918C7">
      <w:pPr>
        <w:pStyle w:val="TOC2"/>
        <w:rPr>
          <w:noProof/>
          <w:color w:val="auto"/>
          <w:kern w:val="2"/>
          <w:sz w:val="24"/>
          <w:szCs w:val="24"/>
          <w:lang w:eastAsia="en-GB"/>
          <w14:ligatures w14:val="standardContextual"/>
        </w:rPr>
      </w:pPr>
      <w:r w:rsidRPr="002518ED">
        <w:rPr>
          <w:noProof/>
        </w:rPr>
        <w:t>5.1.</w:t>
      </w:r>
      <w:r>
        <w:rPr>
          <w:noProof/>
          <w:color w:val="auto"/>
          <w:kern w:val="2"/>
          <w:sz w:val="24"/>
          <w:szCs w:val="24"/>
          <w:lang w:eastAsia="en-GB"/>
          <w14:ligatures w14:val="standardContextual"/>
        </w:rPr>
        <w:tab/>
      </w:r>
      <w:r>
        <w:rPr>
          <w:noProof/>
        </w:rPr>
        <w:t>Service Internal Data Model</w:t>
      </w:r>
      <w:r>
        <w:rPr>
          <w:noProof/>
        </w:rPr>
        <w:tab/>
      </w:r>
      <w:r>
        <w:rPr>
          <w:noProof/>
        </w:rPr>
        <w:fldChar w:fldCharType="begin"/>
      </w:r>
      <w:r>
        <w:rPr>
          <w:noProof/>
        </w:rPr>
        <w:instrText xml:space="preserve"> PAGEREF _Toc225155470 \h </w:instrText>
      </w:r>
      <w:r>
        <w:rPr>
          <w:noProof/>
        </w:rPr>
      </w:r>
      <w:r>
        <w:rPr>
          <w:noProof/>
        </w:rPr>
        <w:fldChar w:fldCharType="separate"/>
      </w:r>
      <w:r>
        <w:rPr>
          <w:noProof/>
        </w:rPr>
        <w:t>11</w:t>
      </w:r>
      <w:r>
        <w:rPr>
          <w:noProof/>
        </w:rPr>
        <w:fldChar w:fldCharType="end"/>
      </w:r>
    </w:p>
    <w:p w14:paraId="3CC40127" w14:textId="610C07AC" w:rsidR="00D918C7" w:rsidRDefault="00D918C7">
      <w:pPr>
        <w:pStyle w:val="TOC1"/>
        <w:rPr>
          <w:b w:val="0"/>
          <w:caps w:val="0"/>
          <w:noProof/>
          <w:color w:val="auto"/>
          <w:kern w:val="2"/>
          <w:sz w:val="24"/>
          <w:szCs w:val="24"/>
          <w:lang w:eastAsia="en-GB"/>
          <w14:ligatures w14:val="standardContextual"/>
        </w:rPr>
      </w:pPr>
      <w:r w:rsidRPr="002518ED">
        <w:rPr>
          <w:noProof/>
        </w:rPr>
        <w:t>6.</w:t>
      </w:r>
      <w:r>
        <w:rPr>
          <w:b w:val="0"/>
          <w:caps w:val="0"/>
          <w:noProof/>
          <w:color w:val="auto"/>
          <w:kern w:val="2"/>
          <w:sz w:val="24"/>
          <w:szCs w:val="24"/>
          <w:lang w:eastAsia="en-GB"/>
          <w14:ligatures w14:val="standardContextual"/>
        </w:rPr>
        <w:tab/>
      </w:r>
      <w:r>
        <w:rPr>
          <w:noProof/>
        </w:rPr>
        <w:t>Service Interface Behaviour</w:t>
      </w:r>
      <w:r>
        <w:rPr>
          <w:noProof/>
        </w:rPr>
        <w:tab/>
      </w:r>
      <w:r>
        <w:rPr>
          <w:noProof/>
        </w:rPr>
        <w:fldChar w:fldCharType="begin"/>
      </w:r>
      <w:r>
        <w:rPr>
          <w:noProof/>
        </w:rPr>
        <w:instrText xml:space="preserve"> PAGEREF _Toc225155471 \h </w:instrText>
      </w:r>
      <w:r>
        <w:rPr>
          <w:noProof/>
        </w:rPr>
      </w:r>
      <w:r>
        <w:rPr>
          <w:noProof/>
        </w:rPr>
        <w:fldChar w:fldCharType="separate"/>
      </w:r>
      <w:r>
        <w:rPr>
          <w:noProof/>
        </w:rPr>
        <w:t>12</w:t>
      </w:r>
      <w:r>
        <w:rPr>
          <w:noProof/>
        </w:rPr>
        <w:fldChar w:fldCharType="end"/>
      </w:r>
    </w:p>
    <w:p w14:paraId="466CFDD9" w14:textId="018934CD" w:rsidR="00D918C7" w:rsidRDefault="00D918C7">
      <w:pPr>
        <w:pStyle w:val="TOC2"/>
        <w:rPr>
          <w:noProof/>
          <w:color w:val="auto"/>
          <w:kern w:val="2"/>
          <w:sz w:val="24"/>
          <w:szCs w:val="24"/>
          <w:lang w:eastAsia="en-GB"/>
          <w14:ligatures w14:val="standardContextual"/>
        </w:rPr>
      </w:pPr>
      <w:r w:rsidRPr="002518ED">
        <w:rPr>
          <w:noProof/>
        </w:rPr>
        <w:t>6.1.</w:t>
      </w:r>
      <w:r>
        <w:rPr>
          <w:noProof/>
          <w:color w:val="auto"/>
          <w:kern w:val="2"/>
          <w:sz w:val="24"/>
          <w:szCs w:val="24"/>
          <w:lang w:eastAsia="en-GB"/>
          <w14:ligatures w14:val="standardContextual"/>
        </w:rPr>
        <w:tab/>
      </w:r>
      <w:r>
        <w:rPr>
          <w:noProof/>
        </w:rPr>
        <w:t>Common</w:t>
      </w:r>
      <w:r>
        <w:rPr>
          <w:noProof/>
        </w:rPr>
        <w:tab/>
      </w:r>
      <w:r>
        <w:rPr>
          <w:noProof/>
        </w:rPr>
        <w:fldChar w:fldCharType="begin"/>
      </w:r>
      <w:r>
        <w:rPr>
          <w:noProof/>
        </w:rPr>
        <w:instrText xml:space="preserve"> PAGEREF _Toc225155472 \h </w:instrText>
      </w:r>
      <w:r>
        <w:rPr>
          <w:noProof/>
        </w:rPr>
      </w:r>
      <w:r>
        <w:rPr>
          <w:noProof/>
        </w:rPr>
        <w:fldChar w:fldCharType="separate"/>
      </w:r>
      <w:r>
        <w:rPr>
          <w:noProof/>
        </w:rPr>
        <w:t>12</w:t>
      </w:r>
      <w:r>
        <w:rPr>
          <w:noProof/>
        </w:rPr>
        <w:fldChar w:fldCharType="end"/>
      </w:r>
    </w:p>
    <w:p w14:paraId="5E534F03" w14:textId="37F40F15"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6.1.1.</w:t>
      </w:r>
      <w:r>
        <w:rPr>
          <w:noProof/>
          <w:color w:val="auto"/>
          <w:kern w:val="2"/>
          <w:sz w:val="24"/>
          <w:szCs w:val="24"/>
          <w:lang w:eastAsia="en-GB"/>
          <w14:ligatures w14:val="standardContextual"/>
        </w:rPr>
        <w:tab/>
      </w:r>
      <w:r>
        <w:rPr>
          <w:noProof/>
        </w:rPr>
        <w:t>Common parameter values</w:t>
      </w:r>
      <w:r>
        <w:rPr>
          <w:noProof/>
        </w:rPr>
        <w:tab/>
      </w:r>
      <w:r>
        <w:rPr>
          <w:noProof/>
        </w:rPr>
        <w:fldChar w:fldCharType="begin"/>
      </w:r>
      <w:r>
        <w:rPr>
          <w:noProof/>
        </w:rPr>
        <w:instrText xml:space="preserve"> PAGEREF _Toc225155473 \h </w:instrText>
      </w:r>
      <w:r>
        <w:rPr>
          <w:noProof/>
        </w:rPr>
      </w:r>
      <w:r>
        <w:rPr>
          <w:noProof/>
        </w:rPr>
        <w:fldChar w:fldCharType="separate"/>
      </w:r>
      <w:r>
        <w:rPr>
          <w:noProof/>
        </w:rPr>
        <w:t>12</w:t>
      </w:r>
      <w:r>
        <w:rPr>
          <w:noProof/>
        </w:rPr>
        <w:fldChar w:fldCharType="end"/>
      </w:r>
    </w:p>
    <w:p w14:paraId="3D0B167C" w14:textId="1B018F42"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6.1.2.</w:t>
      </w:r>
      <w:r>
        <w:rPr>
          <w:noProof/>
          <w:color w:val="auto"/>
          <w:kern w:val="2"/>
          <w:sz w:val="24"/>
          <w:szCs w:val="24"/>
          <w:lang w:eastAsia="en-GB"/>
          <w14:ligatures w14:val="standardContextual"/>
        </w:rPr>
        <w:tab/>
      </w:r>
      <w:r>
        <w:rPr>
          <w:noProof/>
        </w:rPr>
        <w:t>Error codes</w:t>
      </w:r>
      <w:r>
        <w:rPr>
          <w:noProof/>
        </w:rPr>
        <w:tab/>
      </w:r>
      <w:r>
        <w:rPr>
          <w:noProof/>
        </w:rPr>
        <w:fldChar w:fldCharType="begin"/>
      </w:r>
      <w:r>
        <w:rPr>
          <w:noProof/>
        </w:rPr>
        <w:instrText xml:space="preserve"> PAGEREF _Toc225155474 \h </w:instrText>
      </w:r>
      <w:r>
        <w:rPr>
          <w:noProof/>
        </w:rPr>
      </w:r>
      <w:r>
        <w:rPr>
          <w:noProof/>
        </w:rPr>
        <w:fldChar w:fldCharType="separate"/>
      </w:r>
      <w:r>
        <w:rPr>
          <w:noProof/>
        </w:rPr>
        <w:t>12</w:t>
      </w:r>
      <w:r>
        <w:rPr>
          <w:noProof/>
        </w:rPr>
        <w:fldChar w:fldCharType="end"/>
      </w:r>
    </w:p>
    <w:p w14:paraId="6D6A5834" w14:textId="595E0C3E" w:rsidR="00D918C7" w:rsidRDefault="00D918C7">
      <w:pPr>
        <w:pStyle w:val="TOC2"/>
        <w:rPr>
          <w:noProof/>
          <w:color w:val="auto"/>
          <w:kern w:val="2"/>
          <w:sz w:val="24"/>
          <w:szCs w:val="24"/>
          <w:lang w:eastAsia="en-GB"/>
          <w14:ligatures w14:val="standardContextual"/>
        </w:rPr>
      </w:pPr>
      <w:r w:rsidRPr="002518ED">
        <w:rPr>
          <w:noProof/>
        </w:rPr>
        <w:t>6.2.</w:t>
      </w:r>
      <w:r>
        <w:rPr>
          <w:noProof/>
          <w:color w:val="auto"/>
          <w:kern w:val="2"/>
          <w:sz w:val="24"/>
          <w:szCs w:val="24"/>
          <w:lang w:eastAsia="en-GB"/>
          <w14:ligatures w14:val="standardContextual"/>
        </w:rPr>
        <w:tab/>
      </w:r>
      <w:r>
        <w:rPr>
          <w:noProof/>
        </w:rPr>
        <w:t>Applicable SECOM Interfaces</w:t>
      </w:r>
      <w:r>
        <w:rPr>
          <w:noProof/>
        </w:rPr>
        <w:tab/>
      </w:r>
      <w:r>
        <w:rPr>
          <w:noProof/>
        </w:rPr>
        <w:fldChar w:fldCharType="begin"/>
      </w:r>
      <w:r>
        <w:rPr>
          <w:noProof/>
        </w:rPr>
        <w:instrText xml:space="preserve"> PAGEREF _Toc225155475 \h </w:instrText>
      </w:r>
      <w:r>
        <w:rPr>
          <w:noProof/>
        </w:rPr>
      </w:r>
      <w:r>
        <w:rPr>
          <w:noProof/>
        </w:rPr>
        <w:fldChar w:fldCharType="separate"/>
      </w:r>
      <w:r>
        <w:rPr>
          <w:noProof/>
        </w:rPr>
        <w:t>12</w:t>
      </w:r>
      <w:r>
        <w:rPr>
          <w:noProof/>
        </w:rPr>
        <w:fldChar w:fldCharType="end"/>
      </w:r>
    </w:p>
    <w:p w14:paraId="23C6B5D5" w14:textId="496ABEDF"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6.2.1.</w:t>
      </w:r>
      <w:r>
        <w:rPr>
          <w:noProof/>
          <w:color w:val="auto"/>
          <w:kern w:val="2"/>
          <w:sz w:val="24"/>
          <w:szCs w:val="24"/>
          <w:lang w:eastAsia="en-GB"/>
          <w14:ligatures w14:val="standardContextual"/>
        </w:rPr>
        <w:tab/>
      </w:r>
      <w:r>
        <w:rPr>
          <w:noProof/>
        </w:rPr>
        <w:t>Operation Get</w:t>
      </w:r>
      <w:r>
        <w:rPr>
          <w:noProof/>
        </w:rPr>
        <w:tab/>
      </w:r>
      <w:r>
        <w:rPr>
          <w:noProof/>
        </w:rPr>
        <w:fldChar w:fldCharType="begin"/>
      </w:r>
      <w:r>
        <w:rPr>
          <w:noProof/>
        </w:rPr>
        <w:instrText xml:space="preserve"> PAGEREF _Toc225155476 \h </w:instrText>
      </w:r>
      <w:r>
        <w:rPr>
          <w:noProof/>
        </w:rPr>
      </w:r>
      <w:r>
        <w:rPr>
          <w:noProof/>
        </w:rPr>
        <w:fldChar w:fldCharType="separate"/>
      </w:r>
      <w:r>
        <w:rPr>
          <w:noProof/>
        </w:rPr>
        <w:t>13</w:t>
      </w:r>
      <w:r>
        <w:rPr>
          <w:noProof/>
        </w:rPr>
        <w:fldChar w:fldCharType="end"/>
      </w:r>
    </w:p>
    <w:p w14:paraId="193A786F" w14:textId="0D3DA97A"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6.2.2.</w:t>
      </w:r>
      <w:r>
        <w:rPr>
          <w:noProof/>
          <w:color w:val="auto"/>
          <w:kern w:val="2"/>
          <w:sz w:val="24"/>
          <w:szCs w:val="24"/>
          <w:lang w:eastAsia="en-GB"/>
          <w14:ligatures w14:val="standardContextual"/>
        </w:rPr>
        <w:tab/>
      </w:r>
      <w:r>
        <w:rPr>
          <w:noProof/>
        </w:rPr>
        <w:t>Operation Get by Link</w:t>
      </w:r>
      <w:r>
        <w:rPr>
          <w:noProof/>
        </w:rPr>
        <w:tab/>
      </w:r>
      <w:r>
        <w:rPr>
          <w:noProof/>
        </w:rPr>
        <w:fldChar w:fldCharType="begin"/>
      </w:r>
      <w:r>
        <w:rPr>
          <w:noProof/>
        </w:rPr>
        <w:instrText xml:space="preserve"> PAGEREF _Toc225155477 \h </w:instrText>
      </w:r>
      <w:r>
        <w:rPr>
          <w:noProof/>
        </w:rPr>
      </w:r>
      <w:r>
        <w:rPr>
          <w:noProof/>
        </w:rPr>
        <w:fldChar w:fldCharType="separate"/>
      </w:r>
      <w:r>
        <w:rPr>
          <w:noProof/>
        </w:rPr>
        <w:t>15</w:t>
      </w:r>
      <w:r>
        <w:rPr>
          <w:noProof/>
        </w:rPr>
        <w:fldChar w:fldCharType="end"/>
      </w:r>
    </w:p>
    <w:p w14:paraId="732AFBCF" w14:textId="0FB2513C"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6.2.3.</w:t>
      </w:r>
      <w:r>
        <w:rPr>
          <w:noProof/>
          <w:color w:val="auto"/>
          <w:kern w:val="2"/>
          <w:sz w:val="24"/>
          <w:szCs w:val="24"/>
          <w:lang w:eastAsia="en-GB"/>
          <w14:ligatures w14:val="standardContextual"/>
        </w:rPr>
        <w:tab/>
      </w:r>
      <w:r>
        <w:rPr>
          <w:noProof/>
        </w:rPr>
        <w:t>Operation Get Summary</w:t>
      </w:r>
      <w:r>
        <w:rPr>
          <w:noProof/>
        </w:rPr>
        <w:tab/>
      </w:r>
      <w:r>
        <w:rPr>
          <w:noProof/>
        </w:rPr>
        <w:fldChar w:fldCharType="begin"/>
      </w:r>
      <w:r>
        <w:rPr>
          <w:noProof/>
        </w:rPr>
        <w:instrText xml:space="preserve"> PAGEREF _Toc225155478 \h </w:instrText>
      </w:r>
      <w:r>
        <w:rPr>
          <w:noProof/>
        </w:rPr>
      </w:r>
      <w:r>
        <w:rPr>
          <w:noProof/>
        </w:rPr>
        <w:fldChar w:fldCharType="separate"/>
      </w:r>
      <w:r>
        <w:rPr>
          <w:noProof/>
        </w:rPr>
        <w:t>16</w:t>
      </w:r>
      <w:r>
        <w:rPr>
          <w:noProof/>
        </w:rPr>
        <w:fldChar w:fldCharType="end"/>
      </w:r>
    </w:p>
    <w:p w14:paraId="530B2AF6" w14:textId="12F8EA80"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6.2.4.</w:t>
      </w:r>
      <w:r>
        <w:rPr>
          <w:noProof/>
          <w:color w:val="auto"/>
          <w:kern w:val="2"/>
          <w:sz w:val="24"/>
          <w:szCs w:val="24"/>
          <w:lang w:eastAsia="en-GB"/>
          <w14:ligatures w14:val="standardContextual"/>
        </w:rPr>
        <w:tab/>
      </w:r>
      <w:r>
        <w:rPr>
          <w:noProof/>
        </w:rPr>
        <w:t>Operation Subscription</w:t>
      </w:r>
      <w:r>
        <w:rPr>
          <w:noProof/>
        </w:rPr>
        <w:tab/>
      </w:r>
      <w:r>
        <w:rPr>
          <w:noProof/>
        </w:rPr>
        <w:fldChar w:fldCharType="begin"/>
      </w:r>
      <w:r>
        <w:rPr>
          <w:noProof/>
        </w:rPr>
        <w:instrText xml:space="preserve"> PAGEREF _Toc225155479 \h </w:instrText>
      </w:r>
      <w:r>
        <w:rPr>
          <w:noProof/>
        </w:rPr>
      </w:r>
      <w:r>
        <w:rPr>
          <w:noProof/>
        </w:rPr>
        <w:fldChar w:fldCharType="separate"/>
      </w:r>
      <w:r>
        <w:rPr>
          <w:noProof/>
        </w:rPr>
        <w:t>18</w:t>
      </w:r>
      <w:r>
        <w:rPr>
          <w:noProof/>
        </w:rPr>
        <w:fldChar w:fldCharType="end"/>
      </w:r>
    </w:p>
    <w:p w14:paraId="6E7BF575" w14:textId="72673397"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6.2.5.</w:t>
      </w:r>
      <w:r>
        <w:rPr>
          <w:noProof/>
          <w:color w:val="auto"/>
          <w:kern w:val="2"/>
          <w:sz w:val="24"/>
          <w:szCs w:val="24"/>
          <w:lang w:eastAsia="en-GB"/>
          <w14:ligatures w14:val="standardContextual"/>
        </w:rPr>
        <w:tab/>
      </w:r>
      <w:r>
        <w:rPr>
          <w:noProof/>
        </w:rPr>
        <w:t>Operation Remove Subscription</w:t>
      </w:r>
      <w:r>
        <w:rPr>
          <w:noProof/>
        </w:rPr>
        <w:tab/>
      </w:r>
      <w:r>
        <w:rPr>
          <w:noProof/>
        </w:rPr>
        <w:fldChar w:fldCharType="begin"/>
      </w:r>
      <w:r>
        <w:rPr>
          <w:noProof/>
        </w:rPr>
        <w:instrText xml:space="preserve"> PAGEREF _Toc225155480 \h </w:instrText>
      </w:r>
      <w:r>
        <w:rPr>
          <w:noProof/>
        </w:rPr>
      </w:r>
      <w:r>
        <w:rPr>
          <w:noProof/>
        </w:rPr>
        <w:fldChar w:fldCharType="separate"/>
      </w:r>
      <w:r>
        <w:rPr>
          <w:noProof/>
        </w:rPr>
        <w:t>21</w:t>
      </w:r>
      <w:r>
        <w:rPr>
          <w:noProof/>
        </w:rPr>
        <w:fldChar w:fldCharType="end"/>
      </w:r>
    </w:p>
    <w:p w14:paraId="24847E65" w14:textId="523591F4"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6.2.6.</w:t>
      </w:r>
      <w:r>
        <w:rPr>
          <w:noProof/>
          <w:color w:val="auto"/>
          <w:kern w:val="2"/>
          <w:sz w:val="24"/>
          <w:szCs w:val="24"/>
          <w:lang w:eastAsia="en-GB"/>
          <w14:ligatures w14:val="standardContextual"/>
        </w:rPr>
        <w:tab/>
      </w:r>
      <w:r>
        <w:rPr>
          <w:noProof/>
        </w:rPr>
        <w:t>Operation Subscription Notification</w:t>
      </w:r>
      <w:r>
        <w:rPr>
          <w:noProof/>
        </w:rPr>
        <w:tab/>
      </w:r>
      <w:r>
        <w:rPr>
          <w:noProof/>
        </w:rPr>
        <w:fldChar w:fldCharType="begin"/>
      </w:r>
      <w:r>
        <w:rPr>
          <w:noProof/>
        </w:rPr>
        <w:instrText xml:space="preserve"> PAGEREF _Toc225155481 \h </w:instrText>
      </w:r>
      <w:r>
        <w:rPr>
          <w:noProof/>
        </w:rPr>
      </w:r>
      <w:r>
        <w:rPr>
          <w:noProof/>
        </w:rPr>
        <w:fldChar w:fldCharType="separate"/>
      </w:r>
      <w:r>
        <w:rPr>
          <w:noProof/>
        </w:rPr>
        <w:t>21</w:t>
      </w:r>
      <w:r>
        <w:rPr>
          <w:noProof/>
        </w:rPr>
        <w:fldChar w:fldCharType="end"/>
      </w:r>
    </w:p>
    <w:p w14:paraId="09F1A9F5" w14:textId="19D09103"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6.2.7.</w:t>
      </w:r>
      <w:r>
        <w:rPr>
          <w:noProof/>
          <w:color w:val="auto"/>
          <w:kern w:val="2"/>
          <w:sz w:val="24"/>
          <w:szCs w:val="24"/>
          <w:lang w:eastAsia="en-GB"/>
          <w14:ligatures w14:val="standardContextual"/>
        </w:rPr>
        <w:tab/>
      </w:r>
      <w:r>
        <w:rPr>
          <w:noProof/>
        </w:rPr>
        <w:t>Operation Upload</w:t>
      </w:r>
      <w:r>
        <w:rPr>
          <w:noProof/>
        </w:rPr>
        <w:tab/>
      </w:r>
      <w:r>
        <w:rPr>
          <w:noProof/>
        </w:rPr>
        <w:fldChar w:fldCharType="begin"/>
      </w:r>
      <w:r>
        <w:rPr>
          <w:noProof/>
        </w:rPr>
        <w:instrText xml:space="preserve"> PAGEREF _Toc225155482 \h </w:instrText>
      </w:r>
      <w:r>
        <w:rPr>
          <w:noProof/>
        </w:rPr>
      </w:r>
      <w:r>
        <w:rPr>
          <w:noProof/>
        </w:rPr>
        <w:fldChar w:fldCharType="separate"/>
      </w:r>
      <w:r>
        <w:rPr>
          <w:noProof/>
        </w:rPr>
        <w:t>22</w:t>
      </w:r>
      <w:r>
        <w:rPr>
          <w:noProof/>
        </w:rPr>
        <w:fldChar w:fldCharType="end"/>
      </w:r>
    </w:p>
    <w:p w14:paraId="1711D780" w14:textId="53A698F7"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6.2.8.</w:t>
      </w:r>
      <w:r>
        <w:rPr>
          <w:noProof/>
          <w:color w:val="auto"/>
          <w:kern w:val="2"/>
          <w:sz w:val="24"/>
          <w:szCs w:val="24"/>
          <w:lang w:eastAsia="en-GB"/>
          <w14:ligatures w14:val="standardContextual"/>
        </w:rPr>
        <w:tab/>
      </w:r>
      <w:r>
        <w:rPr>
          <w:noProof/>
        </w:rPr>
        <w:t>Operation Upload by Link</w:t>
      </w:r>
      <w:r>
        <w:rPr>
          <w:noProof/>
        </w:rPr>
        <w:tab/>
      </w:r>
      <w:r>
        <w:rPr>
          <w:noProof/>
        </w:rPr>
        <w:fldChar w:fldCharType="begin"/>
      </w:r>
      <w:r>
        <w:rPr>
          <w:noProof/>
        </w:rPr>
        <w:instrText xml:space="preserve"> PAGEREF _Toc225155483 \h </w:instrText>
      </w:r>
      <w:r>
        <w:rPr>
          <w:noProof/>
        </w:rPr>
      </w:r>
      <w:r>
        <w:rPr>
          <w:noProof/>
        </w:rPr>
        <w:fldChar w:fldCharType="separate"/>
      </w:r>
      <w:r>
        <w:rPr>
          <w:noProof/>
        </w:rPr>
        <w:t>24</w:t>
      </w:r>
      <w:r>
        <w:rPr>
          <w:noProof/>
        </w:rPr>
        <w:fldChar w:fldCharType="end"/>
      </w:r>
    </w:p>
    <w:p w14:paraId="22850585" w14:textId="77864E89" w:rsidR="00D918C7" w:rsidRDefault="00D918C7">
      <w:pPr>
        <w:pStyle w:val="TOC3"/>
        <w:tabs>
          <w:tab w:val="left" w:pos="1418"/>
        </w:tabs>
        <w:rPr>
          <w:noProof/>
          <w:color w:val="auto"/>
          <w:kern w:val="2"/>
          <w:sz w:val="24"/>
          <w:szCs w:val="24"/>
          <w:lang w:eastAsia="en-GB"/>
          <w14:ligatures w14:val="standardContextual"/>
        </w:rPr>
      </w:pPr>
      <w:r w:rsidRPr="002518ED">
        <w:rPr>
          <w:noProof/>
          <w:color w:val="00558C" w:themeColor="accent1"/>
        </w:rPr>
        <w:t>6.2.9.</w:t>
      </w:r>
      <w:r>
        <w:rPr>
          <w:noProof/>
          <w:color w:val="auto"/>
          <w:kern w:val="2"/>
          <w:sz w:val="24"/>
          <w:szCs w:val="24"/>
          <w:lang w:eastAsia="en-GB"/>
          <w14:ligatures w14:val="standardContextual"/>
        </w:rPr>
        <w:tab/>
      </w:r>
      <w:r>
        <w:rPr>
          <w:noProof/>
        </w:rPr>
        <w:t>Operation Acknowledgment</w:t>
      </w:r>
      <w:r>
        <w:rPr>
          <w:noProof/>
        </w:rPr>
        <w:tab/>
      </w:r>
      <w:r>
        <w:rPr>
          <w:noProof/>
        </w:rPr>
        <w:fldChar w:fldCharType="begin"/>
      </w:r>
      <w:r>
        <w:rPr>
          <w:noProof/>
        </w:rPr>
        <w:instrText xml:space="preserve"> PAGEREF _Toc225155484 \h </w:instrText>
      </w:r>
      <w:r>
        <w:rPr>
          <w:noProof/>
        </w:rPr>
      </w:r>
      <w:r>
        <w:rPr>
          <w:noProof/>
        </w:rPr>
        <w:fldChar w:fldCharType="separate"/>
      </w:r>
      <w:r>
        <w:rPr>
          <w:noProof/>
        </w:rPr>
        <w:t>26</w:t>
      </w:r>
      <w:r>
        <w:rPr>
          <w:noProof/>
        </w:rPr>
        <w:fldChar w:fldCharType="end"/>
      </w:r>
    </w:p>
    <w:p w14:paraId="643185BF" w14:textId="20AD3FA4" w:rsidR="00D918C7" w:rsidRDefault="00D918C7">
      <w:pPr>
        <w:pStyle w:val="TOC1"/>
        <w:rPr>
          <w:b w:val="0"/>
          <w:caps w:val="0"/>
          <w:noProof/>
          <w:color w:val="auto"/>
          <w:kern w:val="2"/>
          <w:sz w:val="24"/>
          <w:szCs w:val="24"/>
          <w:lang w:eastAsia="en-GB"/>
          <w14:ligatures w14:val="standardContextual"/>
        </w:rPr>
      </w:pPr>
      <w:r w:rsidRPr="002518ED">
        <w:rPr>
          <w:noProof/>
        </w:rPr>
        <w:t>7.</w:t>
      </w:r>
      <w:r>
        <w:rPr>
          <w:b w:val="0"/>
          <w:caps w:val="0"/>
          <w:noProof/>
          <w:color w:val="auto"/>
          <w:kern w:val="2"/>
          <w:sz w:val="24"/>
          <w:szCs w:val="24"/>
          <w:lang w:eastAsia="en-GB"/>
          <w14:ligatures w14:val="standardContextual"/>
        </w:rPr>
        <w:tab/>
      </w:r>
      <w:r>
        <w:rPr>
          <w:noProof/>
        </w:rPr>
        <w:t>Service Dynamic Behaviour</w:t>
      </w:r>
      <w:r>
        <w:rPr>
          <w:noProof/>
        </w:rPr>
        <w:tab/>
      </w:r>
      <w:r>
        <w:rPr>
          <w:noProof/>
        </w:rPr>
        <w:fldChar w:fldCharType="begin"/>
      </w:r>
      <w:r>
        <w:rPr>
          <w:noProof/>
        </w:rPr>
        <w:instrText xml:space="preserve"> PAGEREF _Toc225155485 \h </w:instrText>
      </w:r>
      <w:r>
        <w:rPr>
          <w:noProof/>
        </w:rPr>
      </w:r>
      <w:r>
        <w:rPr>
          <w:noProof/>
        </w:rPr>
        <w:fldChar w:fldCharType="separate"/>
      </w:r>
      <w:r>
        <w:rPr>
          <w:noProof/>
        </w:rPr>
        <w:t>28</w:t>
      </w:r>
      <w:r>
        <w:rPr>
          <w:noProof/>
        </w:rPr>
        <w:fldChar w:fldCharType="end"/>
      </w:r>
    </w:p>
    <w:p w14:paraId="5AE4E6B2" w14:textId="1181E331" w:rsidR="00D918C7" w:rsidRDefault="00D918C7">
      <w:pPr>
        <w:pStyle w:val="TOC2"/>
        <w:rPr>
          <w:noProof/>
          <w:color w:val="auto"/>
          <w:kern w:val="2"/>
          <w:sz w:val="24"/>
          <w:szCs w:val="24"/>
          <w:lang w:eastAsia="en-GB"/>
          <w14:ligatures w14:val="standardContextual"/>
        </w:rPr>
      </w:pPr>
      <w:r w:rsidRPr="002518ED">
        <w:rPr>
          <w:noProof/>
        </w:rPr>
        <w:lastRenderedPageBreak/>
        <w:t>7.1.</w:t>
      </w:r>
      <w:r>
        <w:rPr>
          <w:noProof/>
          <w:color w:val="auto"/>
          <w:kern w:val="2"/>
          <w:sz w:val="24"/>
          <w:szCs w:val="24"/>
          <w:lang w:eastAsia="en-GB"/>
          <w14:ligatures w14:val="standardContextual"/>
        </w:rPr>
        <w:tab/>
      </w:r>
      <w:r>
        <w:rPr>
          <w:noProof/>
        </w:rPr>
        <w:t>Generic sequence for signatures</w:t>
      </w:r>
      <w:r>
        <w:rPr>
          <w:noProof/>
        </w:rPr>
        <w:tab/>
      </w:r>
      <w:r>
        <w:rPr>
          <w:noProof/>
        </w:rPr>
        <w:fldChar w:fldCharType="begin"/>
      </w:r>
      <w:r>
        <w:rPr>
          <w:noProof/>
        </w:rPr>
        <w:instrText xml:space="preserve"> PAGEREF _Toc225155486 \h </w:instrText>
      </w:r>
      <w:r>
        <w:rPr>
          <w:noProof/>
        </w:rPr>
      </w:r>
      <w:r>
        <w:rPr>
          <w:noProof/>
        </w:rPr>
        <w:fldChar w:fldCharType="separate"/>
      </w:r>
      <w:r>
        <w:rPr>
          <w:noProof/>
        </w:rPr>
        <w:t>28</w:t>
      </w:r>
      <w:r>
        <w:rPr>
          <w:noProof/>
        </w:rPr>
        <w:fldChar w:fldCharType="end"/>
      </w:r>
    </w:p>
    <w:p w14:paraId="1A73339A" w14:textId="6BCD2CE0" w:rsidR="00D918C7" w:rsidRDefault="00D918C7">
      <w:pPr>
        <w:pStyle w:val="TOC2"/>
        <w:rPr>
          <w:noProof/>
          <w:color w:val="auto"/>
          <w:kern w:val="2"/>
          <w:sz w:val="24"/>
          <w:szCs w:val="24"/>
          <w:lang w:eastAsia="en-GB"/>
          <w14:ligatures w14:val="standardContextual"/>
        </w:rPr>
      </w:pPr>
      <w:r w:rsidRPr="002518ED">
        <w:rPr>
          <w:noProof/>
        </w:rPr>
        <w:t>7.2.</w:t>
      </w:r>
      <w:r>
        <w:rPr>
          <w:noProof/>
          <w:color w:val="auto"/>
          <w:kern w:val="2"/>
          <w:sz w:val="24"/>
          <w:szCs w:val="24"/>
          <w:lang w:eastAsia="en-GB"/>
          <w14:ligatures w14:val="standardContextual"/>
        </w:rPr>
        <w:tab/>
      </w:r>
      <w:r>
        <w:rPr>
          <w:noProof/>
        </w:rPr>
        <w:t>Client-initiated Retrieval of AtoN Information</w:t>
      </w:r>
      <w:r>
        <w:rPr>
          <w:noProof/>
        </w:rPr>
        <w:tab/>
      </w:r>
      <w:r>
        <w:rPr>
          <w:noProof/>
        </w:rPr>
        <w:fldChar w:fldCharType="begin"/>
      </w:r>
      <w:r>
        <w:rPr>
          <w:noProof/>
        </w:rPr>
        <w:instrText xml:space="preserve"> PAGEREF _Toc225155487 \h </w:instrText>
      </w:r>
      <w:r>
        <w:rPr>
          <w:noProof/>
        </w:rPr>
      </w:r>
      <w:r>
        <w:rPr>
          <w:noProof/>
        </w:rPr>
        <w:fldChar w:fldCharType="separate"/>
      </w:r>
      <w:r>
        <w:rPr>
          <w:noProof/>
        </w:rPr>
        <w:t>28</w:t>
      </w:r>
      <w:r>
        <w:rPr>
          <w:noProof/>
        </w:rPr>
        <w:fldChar w:fldCharType="end"/>
      </w:r>
    </w:p>
    <w:p w14:paraId="508F54DD" w14:textId="553B831E" w:rsidR="00D918C7" w:rsidRDefault="00D918C7">
      <w:pPr>
        <w:pStyle w:val="TOC2"/>
        <w:rPr>
          <w:noProof/>
          <w:color w:val="auto"/>
          <w:kern w:val="2"/>
          <w:sz w:val="24"/>
          <w:szCs w:val="24"/>
          <w:lang w:eastAsia="en-GB"/>
          <w14:ligatures w14:val="standardContextual"/>
        </w:rPr>
      </w:pPr>
      <w:r w:rsidRPr="002518ED">
        <w:rPr>
          <w:noProof/>
        </w:rPr>
        <w:t>7.3.</w:t>
      </w:r>
      <w:r>
        <w:rPr>
          <w:noProof/>
          <w:color w:val="auto"/>
          <w:kern w:val="2"/>
          <w:sz w:val="24"/>
          <w:szCs w:val="24"/>
          <w:lang w:eastAsia="en-GB"/>
          <w14:ligatures w14:val="standardContextual"/>
        </w:rPr>
        <w:tab/>
      </w:r>
      <w:r>
        <w:rPr>
          <w:noProof/>
        </w:rPr>
        <w:t>Subscription-based AtoN Information Propagation</w:t>
      </w:r>
      <w:r>
        <w:rPr>
          <w:noProof/>
        </w:rPr>
        <w:tab/>
      </w:r>
      <w:r>
        <w:rPr>
          <w:noProof/>
        </w:rPr>
        <w:fldChar w:fldCharType="begin"/>
      </w:r>
      <w:r>
        <w:rPr>
          <w:noProof/>
        </w:rPr>
        <w:instrText xml:space="preserve"> PAGEREF _Toc225155488 \h </w:instrText>
      </w:r>
      <w:r>
        <w:rPr>
          <w:noProof/>
        </w:rPr>
      </w:r>
      <w:r>
        <w:rPr>
          <w:noProof/>
        </w:rPr>
        <w:fldChar w:fldCharType="separate"/>
      </w:r>
      <w:r>
        <w:rPr>
          <w:noProof/>
        </w:rPr>
        <w:t>30</w:t>
      </w:r>
      <w:r>
        <w:rPr>
          <w:noProof/>
        </w:rPr>
        <w:fldChar w:fldCharType="end"/>
      </w:r>
    </w:p>
    <w:p w14:paraId="25B78BC9" w14:textId="1BD758C2" w:rsidR="00D918C7" w:rsidRDefault="00D918C7">
      <w:pPr>
        <w:pStyle w:val="TOC1"/>
        <w:rPr>
          <w:b w:val="0"/>
          <w:caps w:val="0"/>
          <w:noProof/>
          <w:color w:val="auto"/>
          <w:kern w:val="2"/>
          <w:sz w:val="24"/>
          <w:szCs w:val="24"/>
          <w:lang w:eastAsia="en-GB"/>
          <w14:ligatures w14:val="standardContextual"/>
        </w:rPr>
      </w:pPr>
      <w:r w:rsidRPr="002518ED">
        <w:rPr>
          <w:noProof/>
        </w:rPr>
        <w:t>8.</w:t>
      </w:r>
      <w:r>
        <w:rPr>
          <w:b w:val="0"/>
          <w:caps w:val="0"/>
          <w:noProof/>
          <w:color w:val="auto"/>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_Toc225155489 \h </w:instrText>
      </w:r>
      <w:r>
        <w:rPr>
          <w:noProof/>
        </w:rPr>
      </w:r>
      <w:r>
        <w:rPr>
          <w:noProof/>
        </w:rPr>
        <w:fldChar w:fldCharType="separate"/>
      </w:r>
      <w:r>
        <w:rPr>
          <w:noProof/>
        </w:rPr>
        <w:t>32</w:t>
      </w:r>
      <w:r>
        <w:rPr>
          <w:noProof/>
        </w:rPr>
        <w:fldChar w:fldCharType="end"/>
      </w:r>
    </w:p>
    <w:p w14:paraId="0D7A6E45" w14:textId="2DA22010" w:rsidR="00D918C7" w:rsidRDefault="00D918C7">
      <w:pPr>
        <w:pStyle w:val="TOC1"/>
        <w:rPr>
          <w:b w:val="0"/>
          <w:caps w:val="0"/>
          <w:noProof/>
          <w:color w:val="auto"/>
          <w:kern w:val="2"/>
          <w:sz w:val="24"/>
          <w:szCs w:val="24"/>
          <w:lang w:eastAsia="en-GB"/>
          <w14:ligatures w14:val="standardContextual"/>
        </w:rPr>
      </w:pPr>
      <w:r w:rsidRPr="002518ED">
        <w:rPr>
          <w:noProof/>
        </w:rPr>
        <w:t>9.</w:t>
      </w:r>
      <w:r>
        <w:rPr>
          <w:b w:val="0"/>
          <w:caps w:val="0"/>
          <w:noProof/>
          <w:color w:val="auto"/>
          <w:kern w:val="2"/>
          <w:sz w:val="24"/>
          <w:szCs w:val="24"/>
          <w:lang w:eastAsia="en-GB"/>
          <w14:ligatures w14:val="standardContextual"/>
        </w:rPr>
        <w:tab/>
      </w:r>
      <w:r>
        <w:rPr>
          <w:noProof/>
        </w:rPr>
        <w:t>Acronyms</w:t>
      </w:r>
      <w:r>
        <w:rPr>
          <w:noProof/>
        </w:rPr>
        <w:tab/>
      </w:r>
      <w:r>
        <w:rPr>
          <w:noProof/>
        </w:rPr>
        <w:fldChar w:fldCharType="begin"/>
      </w:r>
      <w:r>
        <w:rPr>
          <w:noProof/>
        </w:rPr>
        <w:instrText xml:space="preserve"> PAGEREF _Toc225155490 \h </w:instrText>
      </w:r>
      <w:r>
        <w:rPr>
          <w:noProof/>
        </w:rPr>
      </w:r>
      <w:r>
        <w:rPr>
          <w:noProof/>
        </w:rPr>
        <w:fldChar w:fldCharType="separate"/>
      </w:r>
      <w:r>
        <w:rPr>
          <w:noProof/>
        </w:rPr>
        <w:t>33</w:t>
      </w:r>
      <w:r>
        <w:rPr>
          <w:noProof/>
        </w:rPr>
        <w:fldChar w:fldCharType="end"/>
      </w:r>
    </w:p>
    <w:p w14:paraId="2CE51526" w14:textId="16E6D302" w:rsidR="00D918C7" w:rsidRDefault="00D918C7">
      <w:pPr>
        <w:pStyle w:val="TOC1"/>
        <w:rPr>
          <w:b w:val="0"/>
          <w:caps w:val="0"/>
          <w:noProof/>
          <w:color w:val="auto"/>
          <w:kern w:val="2"/>
          <w:sz w:val="24"/>
          <w:szCs w:val="24"/>
          <w:lang w:eastAsia="en-GB"/>
          <w14:ligatures w14:val="standardContextual"/>
        </w:rPr>
      </w:pPr>
      <w:r w:rsidRPr="002518ED">
        <w:rPr>
          <w:noProof/>
        </w:rPr>
        <w:t>10.</w:t>
      </w:r>
      <w:r>
        <w:rPr>
          <w:b w:val="0"/>
          <w:caps w:val="0"/>
          <w:noProof/>
          <w:color w:val="auto"/>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_Toc225155491 \h </w:instrText>
      </w:r>
      <w:r>
        <w:rPr>
          <w:noProof/>
        </w:rPr>
      </w:r>
      <w:r>
        <w:rPr>
          <w:noProof/>
        </w:rPr>
        <w:fldChar w:fldCharType="separate"/>
      </w:r>
      <w:r>
        <w:rPr>
          <w:noProof/>
        </w:rPr>
        <w:t>33</w:t>
      </w:r>
      <w:r>
        <w:rPr>
          <w:noProof/>
        </w:rPr>
        <w:fldChar w:fldCharType="end"/>
      </w:r>
    </w:p>
    <w:p w14:paraId="6B69229A" w14:textId="3287BCC2" w:rsidR="00D918C7" w:rsidRDefault="00D918C7">
      <w:pPr>
        <w:pStyle w:val="TOC1"/>
        <w:rPr>
          <w:b w:val="0"/>
          <w:caps w:val="0"/>
          <w:noProof/>
          <w:color w:val="auto"/>
          <w:kern w:val="2"/>
          <w:sz w:val="24"/>
          <w:szCs w:val="24"/>
          <w:lang w:eastAsia="en-GB"/>
          <w14:ligatures w14:val="standardContextual"/>
        </w:rPr>
      </w:pPr>
      <w:r w:rsidRPr="002518ED">
        <w:rPr>
          <w:noProof/>
        </w:rPr>
        <w:t>11.</w:t>
      </w:r>
      <w:r>
        <w:rPr>
          <w:b w:val="0"/>
          <w:caps w:val="0"/>
          <w:noProof/>
          <w:color w:val="auto"/>
          <w:kern w:val="2"/>
          <w:sz w:val="24"/>
          <w:szCs w:val="24"/>
          <w:lang w:eastAsia="en-GB"/>
          <w14:ligatures w14:val="standardContextual"/>
        </w:rPr>
        <w:tab/>
      </w:r>
      <w:r>
        <w:rPr>
          <w:noProof/>
        </w:rPr>
        <w:t>Annex A. OpenAPI Template</w:t>
      </w:r>
      <w:r>
        <w:rPr>
          <w:noProof/>
        </w:rPr>
        <w:tab/>
      </w:r>
      <w:r>
        <w:rPr>
          <w:noProof/>
        </w:rPr>
        <w:fldChar w:fldCharType="begin"/>
      </w:r>
      <w:r>
        <w:rPr>
          <w:noProof/>
        </w:rPr>
        <w:instrText xml:space="preserve"> PAGEREF _Toc225155492 \h </w:instrText>
      </w:r>
      <w:r>
        <w:rPr>
          <w:noProof/>
        </w:rPr>
      </w:r>
      <w:r>
        <w:rPr>
          <w:noProof/>
        </w:rPr>
        <w:fldChar w:fldCharType="separate"/>
      </w:r>
      <w:r>
        <w:rPr>
          <w:noProof/>
        </w:rPr>
        <w:t>34</w:t>
      </w:r>
      <w:r>
        <w:rPr>
          <w:noProof/>
        </w:rPr>
        <w:fldChar w:fldCharType="end"/>
      </w:r>
    </w:p>
    <w:p w14:paraId="3B6158F2" w14:textId="5575D2BB" w:rsidR="00D918C7" w:rsidRDefault="00D918C7">
      <w:pPr>
        <w:pStyle w:val="TOC1"/>
        <w:rPr>
          <w:b w:val="0"/>
          <w:caps w:val="0"/>
          <w:noProof/>
          <w:color w:val="auto"/>
          <w:kern w:val="2"/>
          <w:sz w:val="24"/>
          <w:szCs w:val="24"/>
          <w:lang w:eastAsia="en-GB"/>
          <w14:ligatures w14:val="standardContextual"/>
        </w:rPr>
      </w:pPr>
      <w:r w:rsidRPr="002518ED">
        <w:rPr>
          <w:noProof/>
        </w:rPr>
        <w:t>12.</w:t>
      </w:r>
      <w:r>
        <w:rPr>
          <w:b w:val="0"/>
          <w:caps w:val="0"/>
          <w:noProof/>
          <w:color w:val="auto"/>
          <w:kern w:val="2"/>
          <w:sz w:val="24"/>
          <w:szCs w:val="24"/>
          <w:lang w:eastAsia="en-GB"/>
          <w14:ligatures w14:val="standardContextual"/>
        </w:rPr>
        <w:tab/>
      </w:r>
      <w:r>
        <w:rPr>
          <w:noProof/>
        </w:rPr>
        <w:t>Annex B. G1128 Instance Description XML Template</w:t>
      </w:r>
      <w:r>
        <w:rPr>
          <w:noProof/>
        </w:rPr>
        <w:tab/>
      </w:r>
      <w:r>
        <w:rPr>
          <w:noProof/>
        </w:rPr>
        <w:fldChar w:fldCharType="begin"/>
      </w:r>
      <w:r>
        <w:rPr>
          <w:noProof/>
        </w:rPr>
        <w:instrText xml:space="preserve"> PAGEREF _Toc225155493 \h </w:instrText>
      </w:r>
      <w:r>
        <w:rPr>
          <w:noProof/>
        </w:rPr>
      </w:r>
      <w:r>
        <w:rPr>
          <w:noProof/>
        </w:rPr>
        <w:fldChar w:fldCharType="separate"/>
      </w:r>
      <w:r>
        <w:rPr>
          <w:noProof/>
        </w:rPr>
        <w:t>57</w:t>
      </w:r>
      <w:r>
        <w:rPr>
          <w:noProof/>
        </w:rPr>
        <w:fldChar w:fldCharType="end"/>
      </w:r>
    </w:p>
    <w:p w14:paraId="4315CAAD" w14:textId="209DFE14" w:rsidR="00753DEE" w:rsidRDefault="00F02DE0">
      <w:pPr>
        <w:pStyle w:val="BodyText"/>
      </w:pPr>
      <w:r>
        <w:rPr>
          <w:rFonts w:eastAsia="Times New Roman" w:cs="Times New Roman"/>
          <w:b/>
          <w:color w:val="00558C" w:themeColor="accent1"/>
          <w:szCs w:val="20"/>
        </w:rPr>
        <w:fldChar w:fldCharType="end"/>
      </w:r>
    </w:p>
    <w:p w14:paraId="360D2F35" w14:textId="77777777" w:rsidR="00753DEE" w:rsidRDefault="00F02DE0">
      <w:pPr>
        <w:pStyle w:val="ListofFigures"/>
      </w:pPr>
      <w:r>
        <w:t xml:space="preserve">List of Tables </w:t>
      </w:r>
    </w:p>
    <w:p w14:paraId="2086C3D2" w14:textId="0C221327" w:rsidR="00D918C7" w:rsidRDefault="00F02DE0">
      <w:pPr>
        <w:pStyle w:val="TableofFigures"/>
        <w:rPr>
          <w:i w:val="0"/>
          <w:noProof/>
          <w:color w:val="auto"/>
          <w:kern w:val="2"/>
          <w:sz w:val="24"/>
          <w:szCs w:val="24"/>
          <w:lang w:eastAsia="en-GB"/>
          <w14:ligatures w14:val="standardContextual"/>
        </w:rPr>
      </w:pPr>
      <w:r>
        <w:rPr>
          <w:i w:val="0"/>
          <w:color w:val="auto"/>
        </w:rPr>
        <w:fldChar w:fldCharType="begin"/>
      </w:r>
      <w:r>
        <w:instrText xml:space="preserve"> TOC \t "Table Caption,1" \c "Figure" </w:instrText>
      </w:r>
      <w:r>
        <w:rPr>
          <w:i w:val="0"/>
          <w:color w:val="auto"/>
        </w:rPr>
        <w:fldChar w:fldCharType="separate"/>
      </w:r>
      <w:r w:rsidR="00D918C7" w:rsidRPr="008203AC">
        <w:rPr>
          <w:rFonts w:ascii="Calibri" w:hAnsi="Calibri"/>
          <w:noProof/>
        </w:rPr>
        <w:t>Table 1</w:t>
      </w:r>
      <w:r w:rsidR="00D918C7">
        <w:rPr>
          <w:i w:val="0"/>
          <w:noProof/>
          <w:color w:val="auto"/>
          <w:kern w:val="2"/>
          <w:sz w:val="24"/>
          <w:szCs w:val="24"/>
          <w:lang w:eastAsia="en-GB"/>
          <w14:ligatures w14:val="standardContextual"/>
        </w:rPr>
        <w:tab/>
      </w:r>
      <w:r w:rsidR="00D918C7">
        <w:rPr>
          <w:noProof/>
        </w:rPr>
        <w:t>Technical Design Identification Information.</w:t>
      </w:r>
      <w:r w:rsidR="00D918C7">
        <w:rPr>
          <w:noProof/>
        </w:rPr>
        <w:tab/>
      </w:r>
      <w:r w:rsidR="00D918C7">
        <w:rPr>
          <w:noProof/>
        </w:rPr>
        <w:fldChar w:fldCharType="begin"/>
      </w:r>
      <w:r w:rsidR="00D918C7">
        <w:rPr>
          <w:noProof/>
        </w:rPr>
        <w:instrText xml:space="preserve"> PAGEREF _Toc225155434 \h </w:instrText>
      </w:r>
      <w:r w:rsidR="00D918C7">
        <w:rPr>
          <w:noProof/>
        </w:rPr>
      </w:r>
      <w:r w:rsidR="00D918C7">
        <w:rPr>
          <w:noProof/>
        </w:rPr>
        <w:fldChar w:fldCharType="separate"/>
      </w:r>
      <w:r w:rsidR="00D918C7">
        <w:rPr>
          <w:noProof/>
        </w:rPr>
        <w:t>6</w:t>
      </w:r>
      <w:r w:rsidR="00D918C7">
        <w:rPr>
          <w:noProof/>
        </w:rPr>
        <w:fldChar w:fldCharType="end"/>
      </w:r>
    </w:p>
    <w:p w14:paraId="6D131C9D" w14:textId="0CD61AEB"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2</w:t>
      </w:r>
      <w:r>
        <w:rPr>
          <w:i w:val="0"/>
          <w:noProof/>
          <w:color w:val="auto"/>
          <w:kern w:val="2"/>
          <w:sz w:val="24"/>
          <w:szCs w:val="24"/>
          <w:lang w:eastAsia="en-GB"/>
          <w14:ligatures w14:val="standardContextual"/>
        </w:rPr>
        <w:tab/>
      </w:r>
      <w:r>
        <w:rPr>
          <w:noProof/>
        </w:rPr>
        <w:t>AtoN Information Service interfaces</w:t>
      </w:r>
      <w:r>
        <w:rPr>
          <w:noProof/>
        </w:rPr>
        <w:tab/>
      </w:r>
      <w:r>
        <w:rPr>
          <w:noProof/>
        </w:rPr>
        <w:fldChar w:fldCharType="begin"/>
      </w:r>
      <w:r>
        <w:rPr>
          <w:noProof/>
        </w:rPr>
        <w:instrText xml:space="preserve"> PAGEREF _Toc225155435 \h </w:instrText>
      </w:r>
      <w:r>
        <w:rPr>
          <w:noProof/>
        </w:rPr>
      </w:r>
      <w:r>
        <w:rPr>
          <w:noProof/>
        </w:rPr>
        <w:fldChar w:fldCharType="separate"/>
      </w:r>
      <w:r>
        <w:rPr>
          <w:noProof/>
        </w:rPr>
        <w:t>9</w:t>
      </w:r>
      <w:r>
        <w:rPr>
          <w:noProof/>
        </w:rPr>
        <w:fldChar w:fldCharType="end"/>
      </w:r>
    </w:p>
    <w:p w14:paraId="113D9E43" w14:textId="25DF8883"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3</w:t>
      </w:r>
      <w:r>
        <w:rPr>
          <w:i w:val="0"/>
          <w:noProof/>
          <w:color w:val="auto"/>
          <w:kern w:val="2"/>
          <w:sz w:val="24"/>
          <w:szCs w:val="24"/>
          <w:lang w:eastAsia="en-GB"/>
          <w14:ligatures w14:val="standardContextual"/>
        </w:rPr>
        <w:tab/>
      </w:r>
      <w:r>
        <w:rPr>
          <w:noProof/>
        </w:rPr>
        <w:t>The Get Operation Parameters.</w:t>
      </w:r>
      <w:r>
        <w:rPr>
          <w:noProof/>
        </w:rPr>
        <w:tab/>
      </w:r>
      <w:r>
        <w:rPr>
          <w:noProof/>
        </w:rPr>
        <w:fldChar w:fldCharType="begin"/>
      </w:r>
      <w:r>
        <w:rPr>
          <w:noProof/>
        </w:rPr>
        <w:instrText xml:space="preserve"> PAGEREF _Toc225155436 \h </w:instrText>
      </w:r>
      <w:r>
        <w:rPr>
          <w:noProof/>
        </w:rPr>
      </w:r>
      <w:r>
        <w:rPr>
          <w:noProof/>
        </w:rPr>
        <w:fldChar w:fldCharType="separate"/>
      </w:r>
      <w:r>
        <w:rPr>
          <w:noProof/>
        </w:rPr>
        <w:t>14</w:t>
      </w:r>
      <w:r>
        <w:rPr>
          <w:noProof/>
        </w:rPr>
        <w:fldChar w:fldCharType="end"/>
      </w:r>
    </w:p>
    <w:p w14:paraId="03ED211F" w14:textId="009D8C99"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4</w:t>
      </w:r>
      <w:r>
        <w:rPr>
          <w:i w:val="0"/>
          <w:noProof/>
          <w:color w:val="auto"/>
          <w:kern w:val="2"/>
          <w:sz w:val="24"/>
          <w:szCs w:val="24"/>
          <w:lang w:eastAsia="en-GB"/>
          <w14:ligatures w14:val="standardContextual"/>
        </w:rPr>
        <w:tab/>
      </w:r>
      <w:r>
        <w:rPr>
          <w:noProof/>
        </w:rPr>
        <w:t>The Get By Link Operation Parameters.</w:t>
      </w:r>
      <w:r>
        <w:rPr>
          <w:noProof/>
        </w:rPr>
        <w:tab/>
      </w:r>
      <w:r>
        <w:rPr>
          <w:noProof/>
        </w:rPr>
        <w:fldChar w:fldCharType="begin"/>
      </w:r>
      <w:r>
        <w:rPr>
          <w:noProof/>
        </w:rPr>
        <w:instrText xml:space="preserve"> PAGEREF _Toc225155437 \h </w:instrText>
      </w:r>
      <w:r>
        <w:rPr>
          <w:noProof/>
        </w:rPr>
      </w:r>
      <w:r>
        <w:rPr>
          <w:noProof/>
        </w:rPr>
        <w:fldChar w:fldCharType="separate"/>
      </w:r>
      <w:r>
        <w:rPr>
          <w:noProof/>
        </w:rPr>
        <w:t>15</w:t>
      </w:r>
      <w:r>
        <w:rPr>
          <w:noProof/>
        </w:rPr>
        <w:fldChar w:fldCharType="end"/>
      </w:r>
    </w:p>
    <w:p w14:paraId="3B1C5F41" w14:textId="0200CE19"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5</w:t>
      </w:r>
      <w:r>
        <w:rPr>
          <w:i w:val="0"/>
          <w:noProof/>
          <w:color w:val="auto"/>
          <w:kern w:val="2"/>
          <w:sz w:val="24"/>
          <w:szCs w:val="24"/>
          <w:lang w:eastAsia="en-GB"/>
          <w14:ligatures w14:val="standardContextual"/>
        </w:rPr>
        <w:tab/>
      </w:r>
      <w:r>
        <w:rPr>
          <w:noProof/>
        </w:rPr>
        <w:t>The Get Summary Operation Parameters.</w:t>
      </w:r>
      <w:r>
        <w:rPr>
          <w:noProof/>
        </w:rPr>
        <w:tab/>
      </w:r>
      <w:r>
        <w:rPr>
          <w:noProof/>
        </w:rPr>
        <w:fldChar w:fldCharType="begin"/>
      </w:r>
      <w:r>
        <w:rPr>
          <w:noProof/>
        </w:rPr>
        <w:instrText xml:space="preserve"> PAGEREF _Toc225155438 \h </w:instrText>
      </w:r>
      <w:r>
        <w:rPr>
          <w:noProof/>
        </w:rPr>
      </w:r>
      <w:r>
        <w:rPr>
          <w:noProof/>
        </w:rPr>
        <w:fldChar w:fldCharType="separate"/>
      </w:r>
      <w:r>
        <w:rPr>
          <w:noProof/>
        </w:rPr>
        <w:t>17</w:t>
      </w:r>
      <w:r>
        <w:rPr>
          <w:noProof/>
        </w:rPr>
        <w:fldChar w:fldCharType="end"/>
      </w:r>
    </w:p>
    <w:p w14:paraId="4A7F14E8" w14:textId="3F7453F7"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6</w:t>
      </w:r>
      <w:r>
        <w:rPr>
          <w:i w:val="0"/>
          <w:noProof/>
          <w:color w:val="auto"/>
          <w:kern w:val="2"/>
          <w:sz w:val="24"/>
          <w:szCs w:val="24"/>
          <w:lang w:eastAsia="en-GB"/>
          <w14:ligatures w14:val="standardContextual"/>
        </w:rPr>
        <w:tab/>
      </w:r>
      <w:r>
        <w:rPr>
          <w:noProof/>
        </w:rPr>
        <w:t>The Subscription Operation Parameters.</w:t>
      </w:r>
      <w:r>
        <w:rPr>
          <w:noProof/>
        </w:rPr>
        <w:tab/>
      </w:r>
      <w:r>
        <w:rPr>
          <w:noProof/>
        </w:rPr>
        <w:fldChar w:fldCharType="begin"/>
      </w:r>
      <w:r>
        <w:rPr>
          <w:noProof/>
        </w:rPr>
        <w:instrText xml:space="preserve"> PAGEREF _Toc225155439 \h </w:instrText>
      </w:r>
      <w:r>
        <w:rPr>
          <w:noProof/>
        </w:rPr>
      </w:r>
      <w:r>
        <w:rPr>
          <w:noProof/>
        </w:rPr>
        <w:fldChar w:fldCharType="separate"/>
      </w:r>
      <w:r>
        <w:rPr>
          <w:noProof/>
        </w:rPr>
        <w:t>19</w:t>
      </w:r>
      <w:r>
        <w:rPr>
          <w:noProof/>
        </w:rPr>
        <w:fldChar w:fldCharType="end"/>
      </w:r>
    </w:p>
    <w:p w14:paraId="0851EF63" w14:textId="052B5563"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7</w:t>
      </w:r>
      <w:r>
        <w:rPr>
          <w:i w:val="0"/>
          <w:noProof/>
          <w:color w:val="auto"/>
          <w:kern w:val="2"/>
          <w:sz w:val="24"/>
          <w:szCs w:val="24"/>
          <w:lang w:eastAsia="en-GB"/>
          <w14:ligatures w14:val="standardContextual"/>
        </w:rPr>
        <w:tab/>
      </w:r>
      <w:r>
        <w:rPr>
          <w:noProof/>
        </w:rPr>
        <w:t>The Remove Subscription Operation Parameters.</w:t>
      </w:r>
      <w:r>
        <w:rPr>
          <w:noProof/>
        </w:rPr>
        <w:tab/>
      </w:r>
      <w:r>
        <w:rPr>
          <w:noProof/>
        </w:rPr>
        <w:fldChar w:fldCharType="begin"/>
      </w:r>
      <w:r>
        <w:rPr>
          <w:noProof/>
        </w:rPr>
        <w:instrText xml:space="preserve"> PAGEREF _Toc225155440 \h </w:instrText>
      </w:r>
      <w:r>
        <w:rPr>
          <w:noProof/>
        </w:rPr>
      </w:r>
      <w:r>
        <w:rPr>
          <w:noProof/>
        </w:rPr>
        <w:fldChar w:fldCharType="separate"/>
      </w:r>
      <w:r>
        <w:rPr>
          <w:noProof/>
        </w:rPr>
        <w:t>21</w:t>
      </w:r>
      <w:r>
        <w:rPr>
          <w:noProof/>
        </w:rPr>
        <w:fldChar w:fldCharType="end"/>
      </w:r>
    </w:p>
    <w:p w14:paraId="4A595A0B" w14:textId="7FE55D9E"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8</w:t>
      </w:r>
      <w:r>
        <w:rPr>
          <w:i w:val="0"/>
          <w:noProof/>
          <w:color w:val="auto"/>
          <w:kern w:val="2"/>
          <w:sz w:val="24"/>
          <w:szCs w:val="24"/>
          <w:lang w:eastAsia="en-GB"/>
          <w14:ligatures w14:val="standardContextual"/>
        </w:rPr>
        <w:tab/>
      </w:r>
      <w:r>
        <w:rPr>
          <w:noProof/>
        </w:rPr>
        <w:t>The Subscription Notification Operation Parameters.</w:t>
      </w:r>
      <w:r>
        <w:rPr>
          <w:noProof/>
        </w:rPr>
        <w:tab/>
      </w:r>
      <w:r>
        <w:rPr>
          <w:noProof/>
        </w:rPr>
        <w:fldChar w:fldCharType="begin"/>
      </w:r>
      <w:r>
        <w:rPr>
          <w:noProof/>
        </w:rPr>
        <w:instrText xml:space="preserve"> PAGEREF _Toc225155441 \h </w:instrText>
      </w:r>
      <w:r>
        <w:rPr>
          <w:noProof/>
        </w:rPr>
      </w:r>
      <w:r>
        <w:rPr>
          <w:noProof/>
        </w:rPr>
        <w:fldChar w:fldCharType="separate"/>
      </w:r>
      <w:r>
        <w:rPr>
          <w:noProof/>
        </w:rPr>
        <w:t>22</w:t>
      </w:r>
      <w:r>
        <w:rPr>
          <w:noProof/>
        </w:rPr>
        <w:fldChar w:fldCharType="end"/>
      </w:r>
    </w:p>
    <w:p w14:paraId="60E030DC" w14:textId="0ECC6DB6"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9</w:t>
      </w:r>
      <w:r>
        <w:rPr>
          <w:i w:val="0"/>
          <w:noProof/>
          <w:color w:val="auto"/>
          <w:kern w:val="2"/>
          <w:sz w:val="24"/>
          <w:szCs w:val="24"/>
          <w:lang w:eastAsia="en-GB"/>
          <w14:ligatures w14:val="standardContextual"/>
        </w:rPr>
        <w:tab/>
      </w:r>
      <w:r>
        <w:rPr>
          <w:noProof/>
        </w:rPr>
        <w:t>The Upload Operation Parameters.</w:t>
      </w:r>
      <w:r>
        <w:rPr>
          <w:noProof/>
        </w:rPr>
        <w:tab/>
      </w:r>
      <w:r>
        <w:rPr>
          <w:noProof/>
        </w:rPr>
        <w:fldChar w:fldCharType="begin"/>
      </w:r>
      <w:r>
        <w:rPr>
          <w:noProof/>
        </w:rPr>
        <w:instrText xml:space="preserve"> PAGEREF _Toc225155442 \h </w:instrText>
      </w:r>
      <w:r>
        <w:rPr>
          <w:noProof/>
        </w:rPr>
      </w:r>
      <w:r>
        <w:rPr>
          <w:noProof/>
        </w:rPr>
        <w:fldChar w:fldCharType="separate"/>
      </w:r>
      <w:r>
        <w:rPr>
          <w:noProof/>
        </w:rPr>
        <w:t>23</w:t>
      </w:r>
      <w:r>
        <w:rPr>
          <w:noProof/>
        </w:rPr>
        <w:fldChar w:fldCharType="end"/>
      </w:r>
    </w:p>
    <w:p w14:paraId="13BF5219" w14:textId="451288F8"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10</w:t>
      </w:r>
      <w:r>
        <w:rPr>
          <w:i w:val="0"/>
          <w:noProof/>
          <w:color w:val="auto"/>
          <w:kern w:val="2"/>
          <w:sz w:val="24"/>
          <w:szCs w:val="24"/>
          <w:lang w:eastAsia="en-GB"/>
          <w14:ligatures w14:val="standardContextual"/>
        </w:rPr>
        <w:tab/>
      </w:r>
      <w:r>
        <w:rPr>
          <w:noProof/>
        </w:rPr>
        <w:t>The Upload Operation Parameters.</w:t>
      </w:r>
      <w:r>
        <w:rPr>
          <w:noProof/>
        </w:rPr>
        <w:tab/>
      </w:r>
      <w:r>
        <w:rPr>
          <w:noProof/>
        </w:rPr>
        <w:fldChar w:fldCharType="begin"/>
      </w:r>
      <w:r>
        <w:rPr>
          <w:noProof/>
        </w:rPr>
        <w:instrText xml:space="preserve"> PAGEREF _Toc225155443 \h </w:instrText>
      </w:r>
      <w:r>
        <w:rPr>
          <w:noProof/>
        </w:rPr>
      </w:r>
      <w:r>
        <w:rPr>
          <w:noProof/>
        </w:rPr>
        <w:fldChar w:fldCharType="separate"/>
      </w:r>
      <w:r>
        <w:rPr>
          <w:noProof/>
        </w:rPr>
        <w:t>25</w:t>
      </w:r>
      <w:r>
        <w:rPr>
          <w:noProof/>
        </w:rPr>
        <w:fldChar w:fldCharType="end"/>
      </w:r>
    </w:p>
    <w:p w14:paraId="2DBD4B52" w14:textId="4AF91F0A"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11</w:t>
      </w:r>
      <w:r>
        <w:rPr>
          <w:i w:val="0"/>
          <w:noProof/>
          <w:color w:val="auto"/>
          <w:kern w:val="2"/>
          <w:sz w:val="24"/>
          <w:szCs w:val="24"/>
          <w:lang w:eastAsia="en-GB"/>
          <w14:ligatures w14:val="standardContextual"/>
        </w:rPr>
        <w:tab/>
      </w:r>
      <w:r>
        <w:rPr>
          <w:noProof/>
        </w:rPr>
        <w:t>The Acknowledgment Operation Parameters.</w:t>
      </w:r>
      <w:r>
        <w:rPr>
          <w:noProof/>
        </w:rPr>
        <w:tab/>
      </w:r>
      <w:r>
        <w:rPr>
          <w:noProof/>
        </w:rPr>
        <w:fldChar w:fldCharType="begin"/>
      </w:r>
      <w:r>
        <w:rPr>
          <w:noProof/>
        </w:rPr>
        <w:instrText xml:space="preserve"> PAGEREF _Toc225155444 \h </w:instrText>
      </w:r>
      <w:r>
        <w:rPr>
          <w:noProof/>
        </w:rPr>
      </w:r>
      <w:r>
        <w:rPr>
          <w:noProof/>
        </w:rPr>
        <w:fldChar w:fldCharType="separate"/>
      </w:r>
      <w:r>
        <w:rPr>
          <w:noProof/>
        </w:rPr>
        <w:t>27</w:t>
      </w:r>
      <w:r>
        <w:rPr>
          <w:noProof/>
        </w:rPr>
        <w:fldChar w:fldCharType="end"/>
      </w:r>
    </w:p>
    <w:p w14:paraId="51FF5225" w14:textId="7ABCE2FD"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12</w:t>
      </w:r>
      <w:r>
        <w:rPr>
          <w:i w:val="0"/>
          <w:noProof/>
          <w:color w:val="auto"/>
          <w:kern w:val="2"/>
          <w:sz w:val="24"/>
          <w:szCs w:val="24"/>
          <w:lang w:eastAsia="en-GB"/>
          <w14:ligatures w14:val="standardContextual"/>
        </w:rPr>
        <w:tab/>
      </w:r>
      <w:r>
        <w:rPr>
          <w:noProof/>
        </w:rPr>
        <w:t>List of Definitions.</w:t>
      </w:r>
      <w:r>
        <w:rPr>
          <w:noProof/>
        </w:rPr>
        <w:tab/>
      </w:r>
      <w:r>
        <w:rPr>
          <w:noProof/>
        </w:rPr>
        <w:fldChar w:fldCharType="begin"/>
      </w:r>
      <w:r>
        <w:rPr>
          <w:noProof/>
        </w:rPr>
        <w:instrText xml:space="preserve"> PAGEREF _Toc225155445 \h </w:instrText>
      </w:r>
      <w:r>
        <w:rPr>
          <w:noProof/>
        </w:rPr>
      </w:r>
      <w:r>
        <w:rPr>
          <w:noProof/>
        </w:rPr>
        <w:fldChar w:fldCharType="separate"/>
      </w:r>
      <w:r>
        <w:rPr>
          <w:noProof/>
        </w:rPr>
        <w:t>32</w:t>
      </w:r>
      <w:r>
        <w:rPr>
          <w:noProof/>
        </w:rPr>
        <w:fldChar w:fldCharType="end"/>
      </w:r>
    </w:p>
    <w:p w14:paraId="4AFF289D" w14:textId="7931ACC3" w:rsidR="00D918C7" w:rsidRDefault="00D918C7">
      <w:pPr>
        <w:pStyle w:val="TableofFigures"/>
        <w:rPr>
          <w:i w:val="0"/>
          <w:noProof/>
          <w:color w:val="auto"/>
          <w:kern w:val="2"/>
          <w:sz w:val="24"/>
          <w:szCs w:val="24"/>
          <w:lang w:eastAsia="en-GB"/>
          <w14:ligatures w14:val="standardContextual"/>
        </w:rPr>
      </w:pPr>
      <w:r w:rsidRPr="008203AC">
        <w:rPr>
          <w:rFonts w:ascii="Calibri" w:hAnsi="Calibri"/>
          <w:noProof/>
        </w:rPr>
        <w:t>Table 13</w:t>
      </w:r>
      <w:r>
        <w:rPr>
          <w:i w:val="0"/>
          <w:noProof/>
          <w:color w:val="auto"/>
          <w:kern w:val="2"/>
          <w:sz w:val="24"/>
          <w:szCs w:val="24"/>
          <w:lang w:eastAsia="en-GB"/>
          <w14:ligatures w14:val="standardContextual"/>
        </w:rPr>
        <w:tab/>
      </w:r>
      <w:r>
        <w:rPr>
          <w:noProof/>
        </w:rPr>
        <w:t>List of Acronyms.</w:t>
      </w:r>
      <w:r>
        <w:rPr>
          <w:noProof/>
        </w:rPr>
        <w:tab/>
      </w:r>
      <w:r>
        <w:rPr>
          <w:noProof/>
        </w:rPr>
        <w:fldChar w:fldCharType="begin"/>
      </w:r>
      <w:r>
        <w:rPr>
          <w:noProof/>
        </w:rPr>
        <w:instrText xml:space="preserve"> PAGEREF _Toc225155446 \h </w:instrText>
      </w:r>
      <w:r>
        <w:rPr>
          <w:noProof/>
        </w:rPr>
      </w:r>
      <w:r>
        <w:rPr>
          <w:noProof/>
        </w:rPr>
        <w:fldChar w:fldCharType="separate"/>
      </w:r>
      <w:r>
        <w:rPr>
          <w:noProof/>
        </w:rPr>
        <w:t>33</w:t>
      </w:r>
      <w:r>
        <w:rPr>
          <w:noProof/>
        </w:rPr>
        <w:fldChar w:fldCharType="end"/>
      </w:r>
    </w:p>
    <w:p w14:paraId="32D8E55D" w14:textId="39C5DA57" w:rsidR="00753DEE" w:rsidRDefault="00F02DE0">
      <w:pPr>
        <w:pStyle w:val="BodyText"/>
      </w:pPr>
      <w:r>
        <w:rPr>
          <w:i/>
          <w:color w:val="00558C"/>
        </w:rPr>
        <w:fldChar w:fldCharType="end"/>
      </w:r>
    </w:p>
    <w:p w14:paraId="45E3E3D9" w14:textId="77777777" w:rsidR="00753DEE" w:rsidRDefault="00F02DE0">
      <w:pPr>
        <w:pStyle w:val="ListofFigures"/>
      </w:pPr>
      <w:r>
        <w:t>List of Figures</w:t>
      </w:r>
    </w:p>
    <w:p w14:paraId="4F1AAB88" w14:textId="40E69375" w:rsidR="00D918C7" w:rsidRDefault="00F02DE0">
      <w:pPr>
        <w:pStyle w:val="TableofFigures"/>
        <w:rPr>
          <w:i w:val="0"/>
          <w:noProof/>
          <w:color w:val="auto"/>
          <w:kern w:val="2"/>
          <w:sz w:val="24"/>
          <w:szCs w:val="24"/>
          <w:lang w:eastAsia="en-GB"/>
          <w14:ligatures w14:val="standardContextual"/>
        </w:rPr>
      </w:pPr>
      <w:r>
        <w:fldChar w:fldCharType="begin"/>
      </w:r>
      <w:r>
        <w:instrText xml:space="preserve"> TOC \t "Image Caption" \c </w:instrText>
      </w:r>
      <w:r>
        <w:fldChar w:fldCharType="separate"/>
      </w:r>
      <w:r w:rsidR="00D918C7">
        <w:rPr>
          <w:noProof/>
        </w:rPr>
        <w:t>Figure 1</w:t>
      </w:r>
      <w:r w:rsidR="00D918C7">
        <w:rPr>
          <w:i w:val="0"/>
          <w:noProof/>
          <w:color w:val="auto"/>
          <w:kern w:val="2"/>
          <w:sz w:val="24"/>
          <w:szCs w:val="24"/>
          <w:lang w:eastAsia="en-GB"/>
          <w14:ligatures w14:val="standardContextual"/>
        </w:rPr>
        <w:tab/>
      </w:r>
      <w:r w:rsidR="00D918C7">
        <w:rPr>
          <w:noProof/>
        </w:rPr>
        <w:t>S-125 dataset coupled with service metadata in an S-100 Exchange Set.</w:t>
      </w:r>
      <w:r w:rsidR="00D918C7">
        <w:rPr>
          <w:noProof/>
        </w:rPr>
        <w:tab/>
      </w:r>
      <w:r w:rsidR="00D918C7">
        <w:rPr>
          <w:noProof/>
        </w:rPr>
        <w:fldChar w:fldCharType="begin"/>
      </w:r>
      <w:r w:rsidR="00D918C7">
        <w:rPr>
          <w:noProof/>
        </w:rPr>
        <w:instrText xml:space="preserve"> PAGEREF _Toc225155447 \h </w:instrText>
      </w:r>
      <w:r w:rsidR="00D918C7">
        <w:rPr>
          <w:noProof/>
        </w:rPr>
      </w:r>
      <w:r w:rsidR="00D918C7">
        <w:rPr>
          <w:noProof/>
        </w:rPr>
        <w:fldChar w:fldCharType="separate"/>
      </w:r>
      <w:r w:rsidR="00D918C7">
        <w:rPr>
          <w:noProof/>
        </w:rPr>
        <w:t>11</w:t>
      </w:r>
      <w:r w:rsidR="00D918C7">
        <w:rPr>
          <w:noProof/>
        </w:rPr>
        <w:fldChar w:fldCharType="end"/>
      </w:r>
    </w:p>
    <w:p w14:paraId="4D336569" w14:textId="5698CB9C" w:rsidR="00D918C7" w:rsidRDefault="00D918C7">
      <w:pPr>
        <w:pStyle w:val="TableofFigures"/>
        <w:rPr>
          <w:i w:val="0"/>
          <w:noProof/>
          <w:color w:val="auto"/>
          <w:kern w:val="2"/>
          <w:sz w:val="24"/>
          <w:szCs w:val="24"/>
          <w:lang w:eastAsia="en-GB"/>
          <w14:ligatures w14:val="standardContextual"/>
        </w:rPr>
      </w:pPr>
      <w:r>
        <w:rPr>
          <w:noProof/>
        </w:rPr>
        <w:t>Figure 2</w:t>
      </w:r>
      <w:r>
        <w:rPr>
          <w:i w:val="0"/>
          <w:noProof/>
          <w:color w:val="auto"/>
          <w:kern w:val="2"/>
          <w:sz w:val="24"/>
          <w:szCs w:val="24"/>
          <w:lang w:eastAsia="en-GB"/>
          <w14:ligatures w14:val="standardContextual"/>
        </w:rPr>
        <w:tab/>
      </w:r>
      <w:r>
        <w:rPr>
          <w:noProof/>
        </w:rPr>
        <w:t>Client-Initiated AtoN Information Retrieval through the Get operation.</w:t>
      </w:r>
      <w:r>
        <w:rPr>
          <w:noProof/>
        </w:rPr>
        <w:tab/>
      </w:r>
      <w:r>
        <w:rPr>
          <w:noProof/>
        </w:rPr>
        <w:fldChar w:fldCharType="begin"/>
      </w:r>
      <w:r>
        <w:rPr>
          <w:noProof/>
        </w:rPr>
        <w:instrText xml:space="preserve"> PAGEREF _Toc225155448 \h </w:instrText>
      </w:r>
      <w:r>
        <w:rPr>
          <w:noProof/>
        </w:rPr>
      </w:r>
      <w:r>
        <w:rPr>
          <w:noProof/>
        </w:rPr>
        <w:fldChar w:fldCharType="separate"/>
      </w:r>
      <w:r>
        <w:rPr>
          <w:noProof/>
        </w:rPr>
        <w:t>29</w:t>
      </w:r>
      <w:r>
        <w:rPr>
          <w:noProof/>
        </w:rPr>
        <w:fldChar w:fldCharType="end"/>
      </w:r>
    </w:p>
    <w:p w14:paraId="47C6414A" w14:textId="1BD264B3" w:rsidR="00D918C7" w:rsidRDefault="00D918C7">
      <w:pPr>
        <w:pStyle w:val="TableofFigures"/>
        <w:rPr>
          <w:i w:val="0"/>
          <w:noProof/>
          <w:color w:val="auto"/>
          <w:kern w:val="2"/>
          <w:sz w:val="24"/>
          <w:szCs w:val="24"/>
          <w:lang w:eastAsia="en-GB"/>
          <w14:ligatures w14:val="standardContextual"/>
        </w:rPr>
      </w:pPr>
      <w:r>
        <w:rPr>
          <w:noProof/>
        </w:rPr>
        <w:t>Figure 3</w:t>
      </w:r>
      <w:r>
        <w:rPr>
          <w:i w:val="0"/>
          <w:noProof/>
          <w:color w:val="auto"/>
          <w:kern w:val="2"/>
          <w:sz w:val="24"/>
          <w:szCs w:val="24"/>
          <w:lang w:eastAsia="en-GB"/>
          <w14:ligatures w14:val="standardContextual"/>
        </w:rPr>
        <w:tab/>
      </w:r>
      <w:r>
        <w:rPr>
          <w:noProof/>
        </w:rPr>
        <w:t>Client-Initiated AtoN Information Retrieval through the Get Summary operation.</w:t>
      </w:r>
      <w:r>
        <w:rPr>
          <w:noProof/>
        </w:rPr>
        <w:tab/>
      </w:r>
      <w:r>
        <w:rPr>
          <w:noProof/>
        </w:rPr>
        <w:fldChar w:fldCharType="begin"/>
      </w:r>
      <w:r>
        <w:rPr>
          <w:noProof/>
        </w:rPr>
        <w:instrText xml:space="preserve"> PAGEREF _Toc225155449 \h </w:instrText>
      </w:r>
      <w:r>
        <w:rPr>
          <w:noProof/>
        </w:rPr>
      </w:r>
      <w:r>
        <w:rPr>
          <w:noProof/>
        </w:rPr>
        <w:fldChar w:fldCharType="separate"/>
      </w:r>
      <w:r>
        <w:rPr>
          <w:noProof/>
        </w:rPr>
        <w:t>29</w:t>
      </w:r>
      <w:r>
        <w:rPr>
          <w:noProof/>
        </w:rPr>
        <w:fldChar w:fldCharType="end"/>
      </w:r>
    </w:p>
    <w:p w14:paraId="1BC38D0D" w14:textId="20F69AEC" w:rsidR="00D918C7" w:rsidRDefault="00D918C7">
      <w:pPr>
        <w:pStyle w:val="TableofFigures"/>
        <w:rPr>
          <w:i w:val="0"/>
          <w:noProof/>
          <w:color w:val="auto"/>
          <w:kern w:val="2"/>
          <w:sz w:val="24"/>
          <w:szCs w:val="24"/>
          <w:lang w:eastAsia="en-GB"/>
          <w14:ligatures w14:val="standardContextual"/>
        </w:rPr>
      </w:pPr>
      <w:r>
        <w:rPr>
          <w:noProof/>
        </w:rPr>
        <w:t>Figure 4</w:t>
      </w:r>
      <w:r>
        <w:rPr>
          <w:i w:val="0"/>
          <w:noProof/>
          <w:color w:val="auto"/>
          <w:kern w:val="2"/>
          <w:sz w:val="24"/>
          <w:szCs w:val="24"/>
          <w:lang w:eastAsia="en-GB"/>
          <w14:ligatures w14:val="standardContextual"/>
        </w:rPr>
        <w:tab/>
      </w:r>
      <w:r>
        <w:rPr>
          <w:noProof/>
        </w:rPr>
        <w:t>Subscription requested by external service.</w:t>
      </w:r>
      <w:r>
        <w:rPr>
          <w:noProof/>
        </w:rPr>
        <w:tab/>
      </w:r>
      <w:r>
        <w:rPr>
          <w:noProof/>
        </w:rPr>
        <w:fldChar w:fldCharType="begin"/>
      </w:r>
      <w:r>
        <w:rPr>
          <w:noProof/>
        </w:rPr>
        <w:instrText xml:space="preserve"> PAGEREF _Toc225155450 \h </w:instrText>
      </w:r>
      <w:r>
        <w:rPr>
          <w:noProof/>
        </w:rPr>
      </w:r>
      <w:r>
        <w:rPr>
          <w:noProof/>
        </w:rPr>
        <w:fldChar w:fldCharType="separate"/>
      </w:r>
      <w:r>
        <w:rPr>
          <w:noProof/>
        </w:rPr>
        <w:t>31</w:t>
      </w:r>
      <w:r>
        <w:rPr>
          <w:noProof/>
        </w:rPr>
        <w:fldChar w:fldCharType="end"/>
      </w:r>
    </w:p>
    <w:p w14:paraId="52A8C51C" w14:textId="3806E50B" w:rsidR="00753DEE" w:rsidRDefault="00F02DE0">
      <w:pPr>
        <w:pStyle w:val="BodyText"/>
        <w:sectPr w:rsidR="00753DEE">
          <w:headerReference w:type="even" r:id="rId21"/>
          <w:headerReference w:type="default" r:id="rId22"/>
          <w:headerReference w:type="first" r:id="rId23"/>
          <w:footerReference w:type="first" r:id="rId24"/>
          <w:pgSz w:w="11906" w:h="16838"/>
          <w:pgMar w:top="567" w:right="794" w:bottom="567" w:left="907" w:header="850" w:footer="784" w:gutter="0"/>
          <w:cols w:space="708"/>
        </w:sectPr>
      </w:pPr>
      <w:r>
        <w:fldChar w:fldCharType="end"/>
      </w:r>
    </w:p>
    <w:p w14:paraId="2F9EB5BD" w14:textId="77777777" w:rsidR="00753DEE" w:rsidRDefault="00753DEE">
      <w:pPr>
        <w:pStyle w:val="Hidden"/>
        <w:numPr>
          <w:ilvl w:val="0"/>
          <w:numId w:val="97"/>
        </w:numPr>
      </w:pPr>
    </w:p>
    <w:p w14:paraId="76AEE315" w14:textId="77777777" w:rsidR="00753DEE" w:rsidRDefault="00F02DE0">
      <w:pPr>
        <w:pStyle w:val="Title"/>
      </w:pPr>
      <w:bookmarkStart w:id="0" w:name="_Toc225155451"/>
      <w:r>
        <w:t>IALA Marine Aids to Navigation (AtoN) Service Design</w:t>
      </w:r>
      <w:bookmarkEnd w:id="0"/>
    </w:p>
    <w:p w14:paraId="2E4A8B26" w14:textId="77777777" w:rsidR="00753DEE" w:rsidRDefault="00F02DE0">
      <w:pPr>
        <w:pStyle w:val="Subtitle"/>
      </w:pPr>
      <w:r>
        <w:t xml:space="preserve">Provision of </w:t>
      </w:r>
      <w:proofErr w:type="spellStart"/>
      <w:r>
        <w:t>AtoN</w:t>
      </w:r>
      <w:proofErr w:type="spellEnd"/>
      <w:r>
        <w:t xml:space="preserve"> information to End-Users using IEC 63173-2 (SECOM)</w:t>
      </w:r>
    </w:p>
    <w:p w14:paraId="7CC907A5" w14:textId="77777777" w:rsidR="00753DEE" w:rsidRDefault="00F02DE0">
      <w:pPr>
        <w:pStyle w:val="Heading1"/>
      </w:pPr>
      <w:bookmarkStart w:id="1" w:name="_Toc225155452"/>
      <w:bookmarkStart w:id="2" w:name="sec:introduction"/>
      <w:r>
        <w:t>Introduction</w:t>
      </w:r>
      <w:bookmarkEnd w:id="1"/>
    </w:p>
    <w:p w14:paraId="473732C9" w14:textId="77777777" w:rsidR="00753DEE" w:rsidRDefault="00F02DE0">
      <w:pPr>
        <w:pStyle w:val="FirstParagraph"/>
      </w:pPr>
      <w:r>
        <w:t xml:space="preserve">This document specifies the design of the “Provision of </w:t>
      </w:r>
      <w:proofErr w:type="spellStart"/>
      <w:r>
        <w:t>AtoN</w:t>
      </w:r>
      <w:proofErr w:type="spellEnd"/>
      <w:r>
        <w:t xml:space="preserve"> Information to End-Users” service according to the technical service specification [1] using the IEC SECOM [2] standard as the transport mechanism for route exchange. This one of the core technical services included in the “MS-2 - Aids to Navigation” maritime service, as this was defined by IMO [3].</w:t>
      </w:r>
    </w:p>
    <w:p w14:paraId="2BA42DF3" w14:textId="77777777" w:rsidR="00753DEE" w:rsidRDefault="00F02DE0">
      <w:pPr>
        <w:pStyle w:val="BodyText"/>
      </w:pPr>
      <w:r>
        <w:t xml:space="preserve">This document was produced as part of the work of IALA ARM committee task group on development of technical service specifications for the provision of </w:t>
      </w:r>
      <w:proofErr w:type="spellStart"/>
      <w:r>
        <w:t>AtoN</w:t>
      </w:r>
      <w:proofErr w:type="spellEnd"/>
      <w:r>
        <w:t xml:space="preserve"> Information. The document is structured according to the IALA Guideline G1128 The Specification of e-Navigation Technical Services [4] and is based on the SECOM template found therein [5]</w:t>
      </w:r>
    </w:p>
    <w:p w14:paraId="54839074" w14:textId="77777777" w:rsidR="00753DEE" w:rsidRDefault="00F02DE0">
      <w:pPr>
        <w:pStyle w:val="Heading2"/>
      </w:pPr>
      <w:bookmarkStart w:id="3" w:name="_Toc225155453"/>
      <w:bookmarkStart w:id="4" w:name="sec:introduction_purpose"/>
      <w:r>
        <w:t>Purpose of this Guideline</w:t>
      </w:r>
      <w:bookmarkEnd w:id="3"/>
    </w:p>
    <w:p w14:paraId="56498F6D" w14:textId="77777777" w:rsidR="00753DEE" w:rsidRDefault="00F02DE0">
      <w:pPr>
        <w:pStyle w:val="FirstParagraph"/>
      </w:pPr>
      <w:r>
        <w:t xml:space="preserve">The purpose of this document is to define a service design using SECOM for the “Provision of </w:t>
      </w:r>
      <w:proofErr w:type="spellStart"/>
      <w:r>
        <w:t>AtoN</w:t>
      </w:r>
      <w:proofErr w:type="spellEnd"/>
      <w:r>
        <w:t xml:space="preserve"> Information to End-Users” service defined in the technical service specification [1]. This is done by using SECOM and the S-125 XML representation as defined in the specification. It defines the actual way the interactions and logical interfaces defined in the specification are to be implemented. It also describes how the requirements for authentication etc are to be implemented.</w:t>
      </w:r>
    </w:p>
    <w:p w14:paraId="5F1027E8" w14:textId="77777777" w:rsidR="00753DEE" w:rsidRDefault="00F02DE0">
      <w:pPr>
        <w:pStyle w:val="BodyText"/>
      </w:pPr>
      <w:r>
        <w:t xml:space="preserve">It describes the actual requirements for both ship and shore side systems </w:t>
      </w:r>
      <w:proofErr w:type="gramStart"/>
      <w:r>
        <w:t>in order to</w:t>
      </w:r>
      <w:proofErr w:type="gramEnd"/>
      <w:r>
        <w:t xml:space="preserve"> support the </w:t>
      </w:r>
      <w:proofErr w:type="spellStart"/>
      <w:r>
        <w:t>AtoN</w:t>
      </w:r>
      <w:proofErr w:type="spellEnd"/>
      <w:r>
        <w:t xml:space="preserve"> information provision as defined in the specification.</w:t>
      </w:r>
    </w:p>
    <w:p w14:paraId="09D7CAEC" w14:textId="77777777" w:rsidR="00753DEE" w:rsidRDefault="00F02DE0">
      <w:pPr>
        <w:pStyle w:val="BodyText"/>
      </w:pPr>
      <w:r>
        <w:t>Note that this design will undergo changes between versions 1.0 and 2.0 as the SECOM and S-125 standard should be updated during that transition period and the design will be changed to reflect the latest changes. Some of the anticipated changes to SECOM and S-125 have already been included in this design and as such this design may not be fully compatible with SECOM 1.0 and S-125 1.0.</w:t>
      </w:r>
    </w:p>
    <w:p w14:paraId="369078D5" w14:textId="77777777" w:rsidR="00753DEE" w:rsidRDefault="00F02DE0">
      <w:pPr>
        <w:pStyle w:val="Heading2"/>
      </w:pPr>
      <w:bookmarkStart w:id="5" w:name="_Toc225155454"/>
      <w:bookmarkStart w:id="6" w:name="sec:introduction_intended_readership"/>
      <w:bookmarkEnd w:id="2"/>
      <w:r>
        <w:t>Intended Readership</w:t>
      </w:r>
      <w:bookmarkEnd w:id="5"/>
    </w:p>
    <w:p w14:paraId="5F784697" w14:textId="77777777" w:rsidR="00753DEE" w:rsidRDefault="00F02DE0">
      <w:pPr>
        <w:pStyle w:val="FirstParagraph"/>
      </w:pPr>
      <w:r>
        <w:t>This Service Design is intended to be read by service architects, system engineers and developers in charge of designing and developing an instance of the route exchange service.</w:t>
      </w:r>
    </w:p>
    <w:p w14:paraId="2438E613" w14:textId="77777777" w:rsidR="00753DEE" w:rsidRDefault="00F02DE0">
      <w:pPr>
        <w:pStyle w:val="Heading3"/>
      </w:pPr>
      <w:bookmarkStart w:id="7" w:name="_Toc225155455"/>
      <w:bookmarkStart w:id="8" w:name="sec:introduction_other_sources"/>
      <w:r>
        <w:t>Inputs from Other Sources</w:t>
      </w:r>
      <w:bookmarkEnd w:id="7"/>
    </w:p>
    <w:p w14:paraId="35DF2ADD" w14:textId="77777777" w:rsidR="00753DEE" w:rsidRDefault="00F02DE0">
      <w:pPr>
        <w:pStyle w:val="FirstParagraph"/>
      </w:pPr>
      <w:r>
        <w:t>This service design follows the requirements, use cases and dynamic behaviour outlined in [1]. The interfaces, parameters and logic of the API is compliant with IEC 63173-2 SECOM and borrows much of its content from there.</w:t>
      </w:r>
    </w:p>
    <w:p w14:paraId="4D7C3075" w14:textId="77777777" w:rsidR="00753DEE" w:rsidRDefault="00F02DE0">
      <w:pPr>
        <w:pStyle w:val="BodyText"/>
      </w:pPr>
      <w:r>
        <w:t xml:space="preserve">“The authors thank the International Electrotechnical Commission (IEC) for permission to reproduce Information from its International Standards. All such extracts are copyright of IEC, Geneva, Switzerland. All rights reserved. Further information on the IEC is available from </w:t>
      </w:r>
      <w:r>
        <w:rPr>
          <w:rStyle w:val="VerbatimChar"/>
        </w:rPr>
        <w:t>www.iec.ch</w:t>
      </w:r>
      <w:r>
        <w:t>. IEC has no responsibility for the placement and context in which the extracts and contents are reproduced by the author, nor is IEC in any way responsible for the other content or accuracy therein.”.</w:t>
      </w:r>
    </w:p>
    <w:p w14:paraId="305BDFFB" w14:textId="77777777" w:rsidR="00753DEE" w:rsidRDefault="00F02DE0">
      <w:r>
        <w:br w:type="page"/>
      </w:r>
    </w:p>
    <w:p w14:paraId="4FAC741A" w14:textId="77777777" w:rsidR="00753DEE" w:rsidRDefault="00F02DE0">
      <w:pPr>
        <w:pStyle w:val="Heading1"/>
      </w:pPr>
      <w:bookmarkStart w:id="9" w:name="_Toc225155456"/>
      <w:bookmarkStart w:id="10" w:name="sec:service_identification"/>
      <w:bookmarkEnd w:id="4"/>
      <w:bookmarkEnd w:id="6"/>
      <w:bookmarkEnd w:id="8"/>
      <w:r>
        <w:lastRenderedPageBreak/>
        <w:t>Service Identification</w:t>
      </w:r>
      <w:bookmarkEnd w:id="9"/>
    </w:p>
    <w:p w14:paraId="25EEF412" w14:textId="77777777" w:rsidR="00753DEE" w:rsidRDefault="00F02DE0">
      <w:pPr>
        <w:pStyle w:val="FirstParagraph"/>
      </w:pPr>
      <w:r>
        <w:t>This section provides a unique identification of the service and describes where the service is in the engineering lifecycle.</w:t>
      </w:r>
    </w:p>
    <w:p w14:paraId="5B161C39" w14:textId="77777777" w:rsidR="00753DEE" w:rsidRDefault="00F02DE0">
      <w:pPr>
        <w:pStyle w:val="TableCaption"/>
        <w:numPr>
          <w:ilvl w:val="0"/>
          <w:numId w:val="65"/>
        </w:numPr>
      </w:pPr>
      <w:bookmarkStart w:id="11" w:name="_Toc225155434"/>
      <w:r>
        <w:t>Technical Design Identification Information.</w:t>
      </w:r>
      <w:bookmarkEnd w:id="11"/>
    </w:p>
    <w:tbl>
      <w:tblPr>
        <w:tblStyle w:val="Table"/>
        <w:tblW w:w="0" w:type="auto"/>
        <w:tblLook w:val="0000" w:firstRow="0" w:lastRow="0" w:firstColumn="0" w:lastColumn="0" w:noHBand="0" w:noVBand="0"/>
        <w:tblCaption w:val="Technical Design Identification Information."/>
      </w:tblPr>
      <w:tblGrid>
        <w:gridCol w:w="1187"/>
        <w:gridCol w:w="9008"/>
      </w:tblGrid>
      <w:tr w:rsidR="00753DEE" w14:paraId="682AAEF3" w14:textId="77777777">
        <w:tc>
          <w:tcPr>
            <w:tcW w:w="0" w:type="auto"/>
          </w:tcPr>
          <w:p w14:paraId="7A458DB2" w14:textId="77777777" w:rsidR="00753DEE" w:rsidRDefault="00F02DE0">
            <w:pPr>
              <w:pStyle w:val="Compact"/>
            </w:pPr>
            <w:r>
              <w:t>Name</w:t>
            </w:r>
          </w:p>
        </w:tc>
        <w:tc>
          <w:tcPr>
            <w:tcW w:w="0" w:type="auto"/>
          </w:tcPr>
          <w:p w14:paraId="5959E172" w14:textId="77777777" w:rsidR="00753DEE" w:rsidRDefault="00F02DE0">
            <w:pPr>
              <w:pStyle w:val="Compact"/>
            </w:pPr>
            <w:r>
              <w:t xml:space="preserve">Provision of </w:t>
            </w:r>
            <w:proofErr w:type="spellStart"/>
            <w:r>
              <w:t>AtoN</w:t>
            </w:r>
            <w:proofErr w:type="spellEnd"/>
            <w:r>
              <w:t xml:space="preserve"> Information Service to End-users over IEC 63173-2 (SECOM)</w:t>
            </w:r>
          </w:p>
        </w:tc>
      </w:tr>
      <w:tr w:rsidR="00753DEE" w14:paraId="31E3A82C" w14:textId="77777777">
        <w:tc>
          <w:tcPr>
            <w:tcW w:w="0" w:type="auto"/>
            <w:vMerge w:val="restart"/>
          </w:tcPr>
          <w:p w14:paraId="488686A1" w14:textId="77777777" w:rsidR="00753DEE" w:rsidRDefault="00F02DE0">
            <w:pPr>
              <w:pStyle w:val="Compact"/>
            </w:pPr>
            <w:r>
              <w:t>Implements</w:t>
            </w:r>
          </w:p>
        </w:tc>
        <w:tc>
          <w:tcPr>
            <w:tcW w:w="0" w:type="auto"/>
          </w:tcPr>
          <w:p w14:paraId="6BE7ACF8" w14:textId="77777777" w:rsidR="00753DEE" w:rsidRDefault="00F02DE0">
            <w:pPr>
              <w:pStyle w:val="Compact"/>
            </w:pPr>
            <w:r>
              <w:t>IALA Marine Aids to Navigation (</w:t>
            </w:r>
            <w:proofErr w:type="spellStart"/>
            <w:r>
              <w:t>AtoN</w:t>
            </w:r>
            <w:proofErr w:type="spellEnd"/>
            <w:r>
              <w:t>) Service Specification</w:t>
            </w:r>
          </w:p>
        </w:tc>
      </w:tr>
      <w:tr w:rsidR="00753DEE" w14:paraId="1CA2B028" w14:textId="77777777">
        <w:tc>
          <w:tcPr>
            <w:tcW w:w="0" w:type="auto"/>
            <w:vMerge/>
          </w:tcPr>
          <w:p w14:paraId="05B7600D" w14:textId="77777777" w:rsidR="00753DEE" w:rsidRDefault="00753DEE"/>
        </w:tc>
        <w:tc>
          <w:tcPr>
            <w:tcW w:w="0" w:type="auto"/>
          </w:tcPr>
          <w:p w14:paraId="66EC91CF" w14:textId="77777777" w:rsidR="00753DEE" w:rsidRDefault="00F02DE0">
            <w:pPr>
              <w:pStyle w:val="Compact"/>
            </w:pPr>
            <w:r>
              <w:t xml:space="preserve">Provision of </w:t>
            </w:r>
            <w:proofErr w:type="spellStart"/>
            <w:r>
              <w:t>AtoN</w:t>
            </w:r>
            <w:proofErr w:type="spellEnd"/>
            <w:r>
              <w:t xml:space="preserve"> Information to End-Users</w:t>
            </w:r>
          </w:p>
        </w:tc>
      </w:tr>
      <w:tr w:rsidR="00753DEE" w:rsidRPr="00BB642F" w14:paraId="7CAEC987" w14:textId="77777777">
        <w:tc>
          <w:tcPr>
            <w:tcW w:w="0" w:type="auto"/>
            <w:vMerge/>
          </w:tcPr>
          <w:p w14:paraId="284CAEF9" w14:textId="77777777" w:rsidR="00753DEE" w:rsidRDefault="00753DEE"/>
        </w:tc>
        <w:tc>
          <w:tcPr>
            <w:tcW w:w="0" w:type="auto"/>
          </w:tcPr>
          <w:p w14:paraId="20E14207" w14:textId="77777777" w:rsidR="00753DEE" w:rsidRPr="00BB642F" w:rsidRDefault="00F02DE0">
            <w:pPr>
              <w:pStyle w:val="Compact"/>
              <w:rPr>
                <w:lang w:val="sv-SE"/>
              </w:rPr>
            </w:pPr>
            <w:r w:rsidRPr="00BB642F">
              <w:rPr>
                <w:lang w:val="sv-SE"/>
              </w:rPr>
              <w:t>urn:mrn:iala:techsvc:ss:arm:atoninfo:1.0</w:t>
            </w:r>
          </w:p>
        </w:tc>
      </w:tr>
      <w:tr w:rsidR="00753DEE" w14:paraId="7FC17F8A" w14:textId="77777777">
        <w:tc>
          <w:tcPr>
            <w:tcW w:w="0" w:type="auto"/>
          </w:tcPr>
          <w:p w14:paraId="587628B7" w14:textId="77777777" w:rsidR="00753DEE" w:rsidRDefault="00F02DE0">
            <w:pPr>
              <w:pStyle w:val="Compact"/>
            </w:pPr>
            <w:r>
              <w:t>Version</w:t>
            </w:r>
          </w:p>
        </w:tc>
        <w:tc>
          <w:tcPr>
            <w:tcW w:w="0" w:type="auto"/>
          </w:tcPr>
          <w:p w14:paraId="4804EB3E" w14:textId="77777777" w:rsidR="00753DEE" w:rsidRDefault="00F02DE0">
            <w:pPr>
              <w:pStyle w:val="Compact"/>
            </w:pPr>
            <w:r>
              <w:t>0.0.1</w:t>
            </w:r>
          </w:p>
        </w:tc>
      </w:tr>
      <w:tr w:rsidR="00753DEE" w14:paraId="7D0B59F1" w14:textId="77777777">
        <w:tc>
          <w:tcPr>
            <w:tcW w:w="0" w:type="auto"/>
          </w:tcPr>
          <w:p w14:paraId="3D46BF0E" w14:textId="77777777" w:rsidR="00753DEE" w:rsidRDefault="00F02DE0">
            <w:pPr>
              <w:pStyle w:val="Compact"/>
            </w:pPr>
            <w:r>
              <w:t>Description</w:t>
            </w:r>
          </w:p>
        </w:tc>
        <w:tc>
          <w:tcPr>
            <w:tcW w:w="0" w:type="auto"/>
          </w:tcPr>
          <w:p w14:paraId="5E1C418B" w14:textId="77777777" w:rsidR="00753DEE" w:rsidRDefault="00F02DE0">
            <w:pPr>
              <w:pStyle w:val="Compact"/>
            </w:pPr>
            <w:r>
              <w:t xml:space="preserve">Technical Design for the provision of </w:t>
            </w:r>
            <w:proofErr w:type="spellStart"/>
            <w:r>
              <w:t>AtoN</w:t>
            </w:r>
            <w:proofErr w:type="spellEnd"/>
            <w:r>
              <w:t xml:space="preserve"> information to end-users via web services, using the IEC 63173-2 (SECOM) communication standard.</w:t>
            </w:r>
          </w:p>
        </w:tc>
      </w:tr>
      <w:tr w:rsidR="00753DEE" w14:paraId="3D46DBB1" w14:textId="77777777">
        <w:tc>
          <w:tcPr>
            <w:tcW w:w="0" w:type="auto"/>
          </w:tcPr>
          <w:p w14:paraId="37867AB2" w14:textId="77777777" w:rsidR="00753DEE" w:rsidRDefault="00F02DE0">
            <w:pPr>
              <w:pStyle w:val="Compact"/>
            </w:pPr>
            <w:r>
              <w:t>Keywords</w:t>
            </w:r>
          </w:p>
        </w:tc>
        <w:tc>
          <w:tcPr>
            <w:tcW w:w="0" w:type="auto"/>
          </w:tcPr>
          <w:p w14:paraId="3D1DDA27" w14:textId="77777777" w:rsidR="00753DEE" w:rsidRDefault="00F02DE0">
            <w:pPr>
              <w:pStyle w:val="Compact"/>
            </w:pPr>
            <w:r>
              <w:t xml:space="preserve">REST, SECOM, MS2, ARM, </w:t>
            </w:r>
            <w:proofErr w:type="spellStart"/>
            <w:r>
              <w:t>AtoN</w:t>
            </w:r>
            <w:proofErr w:type="spellEnd"/>
            <w:r>
              <w:t>, Aids to Navigation, S-125</w:t>
            </w:r>
          </w:p>
        </w:tc>
      </w:tr>
      <w:tr w:rsidR="00753DEE" w14:paraId="02407923" w14:textId="77777777">
        <w:tc>
          <w:tcPr>
            <w:tcW w:w="0" w:type="auto"/>
          </w:tcPr>
          <w:p w14:paraId="6266E0C0" w14:textId="77777777" w:rsidR="00753DEE" w:rsidRDefault="00F02DE0">
            <w:pPr>
              <w:pStyle w:val="Compact"/>
            </w:pPr>
            <w:r>
              <w:t>Architects</w:t>
            </w:r>
          </w:p>
        </w:tc>
        <w:tc>
          <w:tcPr>
            <w:tcW w:w="0" w:type="auto"/>
          </w:tcPr>
          <w:p w14:paraId="1FC92295" w14:textId="77777777" w:rsidR="00753DEE" w:rsidRDefault="00F02DE0">
            <w:pPr>
              <w:pStyle w:val="Compact"/>
            </w:pPr>
            <w:r>
              <w:t>Nikolaos Vastardis</w:t>
            </w:r>
          </w:p>
        </w:tc>
      </w:tr>
      <w:tr w:rsidR="00753DEE" w14:paraId="700BB24C" w14:textId="77777777">
        <w:tc>
          <w:tcPr>
            <w:tcW w:w="0" w:type="auto"/>
          </w:tcPr>
          <w:p w14:paraId="7E73E05E" w14:textId="77777777" w:rsidR="00753DEE" w:rsidRDefault="00F02DE0">
            <w:pPr>
              <w:pStyle w:val="Compact"/>
            </w:pPr>
            <w:r>
              <w:t>Status</w:t>
            </w:r>
          </w:p>
        </w:tc>
        <w:tc>
          <w:tcPr>
            <w:tcW w:w="0" w:type="auto"/>
          </w:tcPr>
          <w:p w14:paraId="3E73803E" w14:textId="77777777" w:rsidR="00753DEE" w:rsidRDefault="00F02DE0">
            <w:pPr>
              <w:pStyle w:val="Compact"/>
            </w:pPr>
            <w:r>
              <w:t>Provisional</w:t>
            </w:r>
          </w:p>
        </w:tc>
      </w:tr>
    </w:tbl>
    <w:p w14:paraId="0BC3FD68" w14:textId="77777777" w:rsidR="00753DEE" w:rsidRDefault="00F02DE0">
      <w:r>
        <w:br w:type="page"/>
      </w:r>
    </w:p>
    <w:p w14:paraId="78DD328E" w14:textId="77777777" w:rsidR="00753DEE" w:rsidRDefault="00F02DE0">
      <w:pPr>
        <w:pStyle w:val="Heading1"/>
      </w:pPr>
      <w:bookmarkStart w:id="12" w:name="_Toc225155457"/>
      <w:bookmarkStart w:id="13" w:name="sec:tech_intro"/>
      <w:bookmarkEnd w:id="10"/>
      <w:r>
        <w:lastRenderedPageBreak/>
        <w:t>Technology Introduction</w:t>
      </w:r>
      <w:bookmarkEnd w:id="12"/>
    </w:p>
    <w:p w14:paraId="58E95F21" w14:textId="77777777" w:rsidR="00753DEE" w:rsidRDefault="00F02DE0">
      <w:pPr>
        <w:pStyle w:val="Heading2"/>
      </w:pPr>
      <w:bookmarkStart w:id="14" w:name="_Toc225155458"/>
      <w:bookmarkStart w:id="15" w:name="sec:tech_intro_general"/>
      <w:r>
        <w:t>General</w:t>
      </w:r>
      <w:bookmarkEnd w:id="14"/>
    </w:p>
    <w:p w14:paraId="0BF36469" w14:textId="77777777" w:rsidR="00753DEE" w:rsidRDefault="00F02DE0">
      <w:pPr>
        <w:pStyle w:val="FirstParagraph"/>
      </w:pPr>
      <w:r>
        <w:t>This design template realizes the service specification [1] using SECOM as defined in IEC 63173-2 [2].</w:t>
      </w:r>
    </w:p>
    <w:p w14:paraId="135FC772" w14:textId="77777777" w:rsidR="00753DEE" w:rsidRDefault="00F02DE0">
      <w:pPr>
        <w:pStyle w:val="BodyText"/>
      </w:pPr>
      <w:r>
        <w:t>The services conforming to this design must be implemented with REST APIs using HTTPS with TLS protection to encrypt all communication in transit.</w:t>
      </w:r>
    </w:p>
    <w:p w14:paraId="5C7315D6" w14:textId="77777777" w:rsidR="00753DEE" w:rsidRDefault="00F02DE0">
      <w:pPr>
        <w:pStyle w:val="Heading2"/>
      </w:pPr>
      <w:bookmarkStart w:id="16" w:name="_Toc225155459"/>
      <w:bookmarkStart w:id="17" w:name="sec:tech_intro_service_tansport_protocol"/>
      <w:bookmarkEnd w:id="13"/>
      <w:r>
        <w:t>Service Technology and Service Transportation Protocol</w:t>
      </w:r>
      <w:bookmarkEnd w:id="16"/>
    </w:p>
    <w:p w14:paraId="4619A023" w14:textId="77777777" w:rsidR="00753DEE" w:rsidRDefault="00F02DE0">
      <w:pPr>
        <w:pStyle w:val="FirstParagraph"/>
      </w:pPr>
      <w:r>
        <w:rPr>
          <w:b/>
          <w:bCs/>
          <w:i/>
          <w:iCs/>
        </w:rPr>
        <w:t>Reference: IEC 63173-2 SECOM v1.0.0 Clause 5.3 Service Technology</w:t>
      </w:r>
    </w:p>
    <w:p w14:paraId="6021400C" w14:textId="77777777" w:rsidR="00753DEE" w:rsidRDefault="00F02DE0">
      <w:pPr>
        <w:pStyle w:val="BodyText"/>
      </w:pPr>
      <w:r>
        <w:t>The technology (architectural style) chosen is REST (</w:t>
      </w:r>
      <w:proofErr w:type="spellStart"/>
      <w:r>
        <w:t>REpresentational</w:t>
      </w:r>
      <w:proofErr w:type="spellEnd"/>
      <w:r>
        <w:t xml:space="preserve"> State Transfer) upon HTTP/1.1 (RFC 7231).</w:t>
      </w:r>
    </w:p>
    <w:p w14:paraId="76A2E452" w14:textId="77777777" w:rsidR="00753DEE" w:rsidRDefault="00F02DE0">
      <w:pPr>
        <w:pStyle w:val="Heading2"/>
      </w:pPr>
      <w:bookmarkStart w:id="18" w:name="_Toc225155460"/>
      <w:bookmarkStart w:id="19" w:name="sec:tech_intro_security"/>
      <w:bookmarkEnd w:id="15"/>
      <w:r>
        <w:t>Security</w:t>
      </w:r>
      <w:bookmarkEnd w:id="18"/>
    </w:p>
    <w:p w14:paraId="621E276E" w14:textId="77777777" w:rsidR="00753DEE" w:rsidRDefault="00F02DE0">
      <w:pPr>
        <w:pStyle w:val="Heading3"/>
      </w:pPr>
      <w:bookmarkStart w:id="20" w:name="_Toc225155461"/>
      <w:bookmarkStart w:id="21" w:name="sec:tech_intro_security_comm"/>
      <w:r>
        <w:t>Communication Channel Security</w:t>
      </w:r>
      <w:bookmarkEnd w:id="20"/>
    </w:p>
    <w:p w14:paraId="39DB9ABA" w14:textId="77777777" w:rsidR="00753DEE" w:rsidRDefault="00F02DE0">
      <w:pPr>
        <w:pStyle w:val="FirstParagraph"/>
      </w:pPr>
      <w:r>
        <w:rPr>
          <w:b/>
          <w:bCs/>
          <w:i/>
          <w:iCs/>
        </w:rPr>
        <w:t>Reference: IEC 63173-2 SECOM v1.0.0 Clause 6 SECOM communication channel security</w:t>
      </w:r>
    </w:p>
    <w:p w14:paraId="38CB9D66" w14:textId="77777777" w:rsidR="00753DEE" w:rsidRDefault="00F02DE0">
      <w:pPr>
        <w:pStyle w:val="BodyText"/>
      </w:pPr>
      <w:r>
        <w:t>The channel security between the SECOM REST service and a consumer are</w:t>
      </w:r>
    </w:p>
    <w:p w14:paraId="766224FF" w14:textId="77777777" w:rsidR="00753DEE" w:rsidRDefault="00F02DE0">
      <w:pPr>
        <w:pStyle w:val="Compact"/>
        <w:numPr>
          <w:ilvl w:val="0"/>
          <w:numId w:val="66"/>
        </w:numPr>
      </w:pPr>
      <w:r>
        <w:t>HTTP/1.1 according to RFC-7231</w:t>
      </w:r>
    </w:p>
    <w:p w14:paraId="2E324DC3" w14:textId="77777777" w:rsidR="00753DEE" w:rsidRDefault="00F02DE0">
      <w:pPr>
        <w:pStyle w:val="Compact"/>
        <w:numPr>
          <w:ilvl w:val="0"/>
          <w:numId w:val="66"/>
        </w:numPr>
      </w:pPr>
      <w:r>
        <w:t>HTTPS over TLS according to RFC-2818</w:t>
      </w:r>
    </w:p>
    <w:p w14:paraId="5ADE06E2" w14:textId="77777777" w:rsidR="00753DEE" w:rsidRDefault="00F02DE0">
      <w:pPr>
        <w:pStyle w:val="FirstParagraph"/>
      </w:pPr>
      <w:r>
        <w:t>Valid versions of TLS for this version of service design template are</w:t>
      </w:r>
    </w:p>
    <w:p w14:paraId="12BAEC2A" w14:textId="77777777" w:rsidR="00753DEE" w:rsidRDefault="00F02DE0">
      <w:pPr>
        <w:pStyle w:val="Compact"/>
        <w:numPr>
          <w:ilvl w:val="0"/>
          <w:numId w:val="67"/>
        </w:numPr>
      </w:pPr>
      <w:r>
        <w:t>TLS version 1.2 and 1.3 (RFC-8446)</w:t>
      </w:r>
    </w:p>
    <w:p w14:paraId="2802B57E" w14:textId="77777777" w:rsidR="00753DEE" w:rsidRDefault="00F02DE0">
      <w:pPr>
        <w:pStyle w:val="FirstParagraph"/>
      </w:pPr>
      <w:r>
        <w:t>X.509 Certificates are used in the TLS according to RFC 5280 and RFC 2459.</w:t>
      </w:r>
    </w:p>
    <w:p w14:paraId="0AF95906" w14:textId="77777777" w:rsidR="00753DEE" w:rsidRDefault="00F02DE0">
      <w:pPr>
        <w:pStyle w:val="BodyText"/>
      </w:pPr>
      <w:r>
        <w:t>Certificates shall be verified with OCSP and/or CRL methods.</w:t>
      </w:r>
    </w:p>
    <w:p w14:paraId="1AD90224" w14:textId="77777777" w:rsidR="00753DEE" w:rsidRDefault="00F02DE0">
      <w:pPr>
        <w:pStyle w:val="Heading3"/>
      </w:pPr>
      <w:bookmarkStart w:id="22" w:name="_Toc225155462"/>
      <w:bookmarkStart w:id="23" w:name="sec:tech_intro_security_data_protection"/>
      <w:bookmarkEnd w:id="17"/>
      <w:r>
        <w:t>Data Protection</w:t>
      </w:r>
      <w:bookmarkEnd w:id="22"/>
    </w:p>
    <w:p w14:paraId="1233D315" w14:textId="77777777" w:rsidR="00753DEE" w:rsidRDefault="00F02DE0">
      <w:pPr>
        <w:pStyle w:val="FirstParagraph"/>
      </w:pPr>
      <w:r>
        <w:rPr>
          <w:b/>
          <w:bCs/>
          <w:i/>
          <w:iCs/>
        </w:rPr>
        <w:t>Reference: IEC 63173-2 SECOM v1.0.0 Clause 4.3.4 SECOM data protection</w:t>
      </w:r>
    </w:p>
    <w:p w14:paraId="6935825A" w14:textId="77777777" w:rsidR="00753DEE" w:rsidRDefault="00F02DE0">
      <w:pPr>
        <w:pStyle w:val="BodyText"/>
      </w:pPr>
      <w:r>
        <w:rPr>
          <w:b/>
          <w:bCs/>
          <w:i/>
          <w:iCs/>
        </w:rPr>
        <w:t>Reference: IHO S-100 ed5.2.0 Part 15 Data Protection Scheme</w:t>
      </w:r>
    </w:p>
    <w:p w14:paraId="44D6999A" w14:textId="77777777" w:rsidR="00753DEE" w:rsidRDefault="00F02DE0">
      <w:pPr>
        <w:pStyle w:val="BodyText"/>
      </w:pPr>
      <w:r>
        <w:t>The data is mandatory to be signed by the sender to enable data authentication and integrity check by the receiver.</w:t>
      </w:r>
    </w:p>
    <w:p w14:paraId="77CF79CA" w14:textId="77777777" w:rsidR="00753DEE" w:rsidRDefault="00F02DE0">
      <w:pPr>
        <w:pStyle w:val="BodyText"/>
      </w:pPr>
      <w:r>
        <w:t>The data can optionally be encrypted by the sender, and the sender is responsible for exchanging the encryption key with the receiver.</w:t>
      </w:r>
    </w:p>
    <w:p w14:paraId="6D803A35" w14:textId="77777777" w:rsidR="00753DEE" w:rsidRDefault="00F02DE0">
      <w:pPr>
        <w:pStyle w:val="BodyText"/>
      </w:pPr>
      <w:r>
        <w:t>While sending standalone S-421 documents without the additional metadata of datasets or exchange sets is preferred, if datasets or exchange sets are used the data (one or more data files) can optionally be packaged and compressed before being signed and sent.</w:t>
      </w:r>
    </w:p>
    <w:p w14:paraId="6B45FEF5" w14:textId="77777777" w:rsidR="00753DEE" w:rsidRDefault="00F02DE0">
      <w:pPr>
        <w:pStyle w:val="Heading3"/>
      </w:pPr>
      <w:bookmarkStart w:id="24" w:name="_Toc225155463"/>
      <w:bookmarkStart w:id="25" w:name="sec:tech_intro_security_data_sign"/>
      <w:bookmarkEnd w:id="19"/>
      <w:r>
        <w:t>Data Signature</w:t>
      </w:r>
      <w:bookmarkEnd w:id="24"/>
    </w:p>
    <w:p w14:paraId="7752F902" w14:textId="77777777" w:rsidR="00753DEE" w:rsidRDefault="00F02DE0">
      <w:pPr>
        <w:pStyle w:val="FirstParagraph"/>
      </w:pPr>
      <w:r>
        <w:rPr>
          <w:b/>
          <w:bCs/>
          <w:i/>
          <w:iCs/>
        </w:rPr>
        <w:t>Reference: IEC 63173-2 SECOM v1.0.0 Clause 7.3 Data authentication and signing</w:t>
      </w:r>
    </w:p>
    <w:p w14:paraId="4527B33E" w14:textId="77777777" w:rsidR="00753DEE" w:rsidRDefault="00F02DE0">
      <w:pPr>
        <w:pStyle w:val="BodyText"/>
      </w:pPr>
      <w:r>
        <w:rPr>
          <w:b/>
          <w:bCs/>
          <w:i/>
          <w:iCs/>
        </w:rPr>
        <w:t>Reference: IHO S-100 ed5.2.0 Part 15-8 Data Authentication</w:t>
      </w:r>
    </w:p>
    <w:p w14:paraId="1F14328F" w14:textId="77777777" w:rsidR="00753DEE" w:rsidRDefault="00F02DE0">
      <w:pPr>
        <w:pStyle w:val="BodyText"/>
      </w:pPr>
      <w:r>
        <w:rPr>
          <w:b/>
          <w:bCs/>
          <w:i/>
          <w:iCs/>
        </w:rPr>
        <w:t>Reference: NIST Digital Signature Standard (DSS–FIPS Publication 186</w:t>
      </w:r>
    </w:p>
    <w:p w14:paraId="64E4540A" w14:textId="77777777" w:rsidR="00753DEE" w:rsidRDefault="00F02DE0">
      <w:pPr>
        <w:pStyle w:val="BodyText"/>
      </w:pPr>
      <w:r>
        <w:t>The algorithm for signing data must be ECDSA-384-SHA2.</w:t>
      </w:r>
    </w:p>
    <w:p w14:paraId="2678F766" w14:textId="77777777" w:rsidR="00753DEE" w:rsidRDefault="00F02DE0">
      <w:pPr>
        <w:pStyle w:val="BodyText"/>
      </w:pPr>
      <w:r>
        <w:t>The signature is transported in HEX.</w:t>
      </w:r>
    </w:p>
    <w:p w14:paraId="09B7CFE3" w14:textId="77777777" w:rsidR="00753DEE" w:rsidRDefault="00F02DE0">
      <w:pPr>
        <w:pStyle w:val="Heading3"/>
      </w:pPr>
      <w:bookmarkStart w:id="26" w:name="_Toc225155464"/>
      <w:bookmarkStart w:id="27" w:name="sec:tech_intro_security_data_encryption"/>
      <w:bookmarkEnd w:id="21"/>
      <w:r>
        <w:t>Data Encryption</w:t>
      </w:r>
      <w:bookmarkEnd w:id="26"/>
    </w:p>
    <w:p w14:paraId="6BAEE40B" w14:textId="77777777" w:rsidR="00753DEE" w:rsidRDefault="00F02DE0">
      <w:pPr>
        <w:pStyle w:val="FirstParagraph"/>
      </w:pPr>
      <w:r>
        <w:rPr>
          <w:b/>
          <w:bCs/>
          <w:i/>
          <w:iCs/>
        </w:rPr>
        <w:t>Reference: IEC 63173-2 SECOM v1.0.0 Clause 7.4 Data encryption</w:t>
      </w:r>
    </w:p>
    <w:p w14:paraId="2F6F7D1F" w14:textId="77777777" w:rsidR="00753DEE" w:rsidRDefault="00F02DE0">
      <w:pPr>
        <w:pStyle w:val="BodyText"/>
      </w:pPr>
      <w:r>
        <w:rPr>
          <w:b/>
          <w:bCs/>
          <w:i/>
          <w:iCs/>
        </w:rPr>
        <w:t>Reference: IHO S-100 ed5.2.0 Part 15-6 Data Encryption</w:t>
      </w:r>
    </w:p>
    <w:p w14:paraId="631FE34E" w14:textId="77777777" w:rsidR="00753DEE" w:rsidRDefault="00F02DE0">
      <w:pPr>
        <w:pStyle w:val="BodyText"/>
      </w:pPr>
      <w:r>
        <w:lastRenderedPageBreak/>
        <w:t>The encryption algorithm for encryption is AES and CBC mode.</w:t>
      </w:r>
    </w:p>
    <w:p w14:paraId="59600765" w14:textId="77777777" w:rsidR="00753DEE" w:rsidRDefault="00F02DE0">
      <w:pPr>
        <w:pStyle w:val="BodyText"/>
      </w:pPr>
      <w:r>
        <w:t>The symmetric encryption key can be exchanged by different means, including using the SECOM REST API to exchange the encryption key.</w:t>
      </w:r>
    </w:p>
    <w:p w14:paraId="54088249" w14:textId="77777777" w:rsidR="00753DEE" w:rsidRDefault="00F02DE0">
      <w:r>
        <w:br w:type="page"/>
      </w:r>
    </w:p>
    <w:p w14:paraId="657B0721" w14:textId="77777777" w:rsidR="00753DEE" w:rsidRDefault="00F02DE0">
      <w:pPr>
        <w:pStyle w:val="Heading1"/>
      </w:pPr>
      <w:bookmarkStart w:id="28" w:name="_Toc225155465"/>
      <w:bookmarkStart w:id="29" w:name="sec:service_overview"/>
      <w:bookmarkEnd w:id="23"/>
      <w:bookmarkEnd w:id="25"/>
      <w:bookmarkEnd w:id="27"/>
      <w:r>
        <w:lastRenderedPageBreak/>
        <w:t>Service Overview</w:t>
      </w:r>
      <w:bookmarkEnd w:id="28"/>
    </w:p>
    <w:p w14:paraId="3BCD6A4F" w14:textId="77777777" w:rsidR="00753DEE" w:rsidRDefault="00F02DE0">
      <w:pPr>
        <w:pStyle w:val="Heading2"/>
      </w:pPr>
      <w:bookmarkStart w:id="30" w:name="_Toc225155466"/>
      <w:bookmarkStart w:id="31" w:name="sec:service_overview_general"/>
      <w:r>
        <w:t>General</w:t>
      </w:r>
      <w:bookmarkEnd w:id="30"/>
    </w:p>
    <w:p w14:paraId="52743310" w14:textId="77777777" w:rsidR="00753DEE" w:rsidRDefault="00F02DE0">
      <w:pPr>
        <w:pStyle w:val="FirstParagraph"/>
      </w:pPr>
      <w:r>
        <w:t xml:space="preserve">The design uses SECOM defined APIs. As such, it is important to understand that both the </w:t>
      </w:r>
      <w:proofErr w:type="spellStart"/>
      <w:r>
        <w:t>AtoN</w:t>
      </w:r>
      <w:proofErr w:type="spellEnd"/>
      <w:r>
        <w:t xml:space="preserve"> information provision service and its consumers must be able to function as client and server as understood in the traditional HTTP world. As such from here on when the term service is used, it applies to the </w:t>
      </w:r>
      <w:proofErr w:type="gramStart"/>
      <w:r>
        <w:t>on-shore</w:t>
      </w:r>
      <w:proofErr w:type="gramEnd"/>
      <w:r>
        <w:t xml:space="preserve"> “Provision of </w:t>
      </w:r>
      <w:proofErr w:type="spellStart"/>
      <w:r>
        <w:t>AtoN</w:t>
      </w:r>
      <w:proofErr w:type="spellEnd"/>
      <w:r>
        <w:t xml:space="preserve"> Information to End-Users” service and the consumer is the on-board ship system that is communicating with it.</w:t>
      </w:r>
    </w:p>
    <w:p w14:paraId="4ED7C8E6" w14:textId="77777777" w:rsidR="00753DEE" w:rsidRDefault="00F02DE0">
      <w:pPr>
        <w:pStyle w:val="BodyText"/>
      </w:pPr>
      <w:r>
        <w:t>This design does not concern itself with how the service instances will communicate with on-board ship systems. The instances of this design may be developed as integrated components directly or as independent microservices that communicate with the onboard ship systems via different integration mechanisms e.g., APIs or by emitting and consuming events.</w:t>
      </w:r>
    </w:p>
    <w:p w14:paraId="47430276" w14:textId="77777777" w:rsidR="00753DEE" w:rsidRDefault="00F02DE0">
      <w:pPr>
        <w:pStyle w:val="BodyText"/>
      </w:pPr>
      <w:r>
        <w:t xml:space="preserve">It should also be noted that all </w:t>
      </w:r>
      <w:proofErr w:type="spellStart"/>
      <w:r>
        <w:t>AtoN</w:t>
      </w:r>
      <w:proofErr w:type="spellEnd"/>
      <w:r>
        <w:t xml:space="preserve"> information provision service instances, the advertised S-125 datasets, as well as the included </w:t>
      </w:r>
      <w:proofErr w:type="spellStart"/>
      <w:r>
        <w:t>AtoNs</w:t>
      </w:r>
      <w:proofErr w:type="spellEnd"/>
      <w:r>
        <w:t xml:space="preserve">, must support the IALA Maritime Resource Naming (MRN) scheme, as per [6]. Valid MRN identifiers should be made available for each of these entities. The implementation </w:t>
      </w:r>
      <w:proofErr w:type="gramStart"/>
      <w:r>
        <w:t>methodology</w:t>
      </w:r>
      <w:proofErr w:type="gramEnd"/>
      <w:r>
        <w:t xml:space="preserve"> however, falls outside the scope of this service design.</w:t>
      </w:r>
    </w:p>
    <w:p w14:paraId="70C239B6" w14:textId="77777777" w:rsidR="00753DEE" w:rsidRDefault="00F02DE0">
      <w:pPr>
        <w:pStyle w:val="Heading2"/>
      </w:pPr>
      <w:bookmarkStart w:id="32" w:name="_Toc225155467"/>
      <w:bookmarkStart w:id="33" w:name="sec:service_overview_interfaces"/>
      <w:bookmarkEnd w:id="29"/>
      <w:r>
        <w:t>Service Interfaces</w:t>
      </w:r>
      <w:bookmarkEnd w:id="32"/>
    </w:p>
    <w:p w14:paraId="662CFAF1" w14:textId="77777777" w:rsidR="00753DEE" w:rsidRDefault="00F02DE0">
      <w:pPr>
        <w:pStyle w:val="FirstParagraph"/>
      </w:pPr>
      <w:r>
        <w:rPr>
          <w:b/>
          <w:bCs/>
          <w:i/>
          <w:iCs/>
        </w:rPr>
        <w:t>Reference: IEC 63173-2 SECOM v1.0.0 Clause 5.7 SECOM service interface definitions</w:t>
      </w:r>
    </w:p>
    <w:p w14:paraId="66A3EB41" w14:textId="77777777" w:rsidR="00753DEE" w:rsidRDefault="00F02DE0">
      <w:pPr>
        <w:pStyle w:val="BodyText"/>
      </w:pPr>
      <w:r>
        <w:t>SECOM does not require that all the interfaces defined in the standard must be implemented. Thus, for the purposes of this service and its consumers, only the following interfaces are required:</w:t>
      </w:r>
    </w:p>
    <w:p w14:paraId="3985188C" w14:textId="77777777" w:rsidR="00753DEE" w:rsidRDefault="00F02DE0">
      <w:pPr>
        <w:pStyle w:val="TableCaption"/>
      </w:pPr>
      <w:bookmarkStart w:id="34" w:name="_Toc225155435"/>
      <w:bookmarkStart w:id="35" w:name="tbl:aton_info_service_interfaces"/>
      <w:proofErr w:type="spellStart"/>
      <w:r>
        <w:t>AtoN</w:t>
      </w:r>
      <w:proofErr w:type="spellEnd"/>
      <w:r>
        <w:t xml:space="preserve"> Information Service interfaces</w:t>
      </w:r>
      <w:bookmarkEnd w:id="34"/>
    </w:p>
    <w:tbl>
      <w:tblPr>
        <w:tblStyle w:val="Table"/>
        <w:tblW w:w="5000" w:type="pct"/>
        <w:tblLayout w:type="fixed"/>
        <w:tblLook w:val="0020" w:firstRow="1" w:lastRow="0" w:firstColumn="0" w:lastColumn="0" w:noHBand="0" w:noVBand="0"/>
        <w:tblCaption w:val="AtoN Information Service interfaces"/>
      </w:tblPr>
      <w:tblGrid>
        <w:gridCol w:w="3399"/>
        <w:gridCol w:w="3398"/>
        <w:gridCol w:w="3398"/>
      </w:tblGrid>
      <w:tr w:rsidR="00753DEE" w14:paraId="4568F84B" w14:textId="77777777">
        <w:trPr>
          <w:cnfStyle w:val="100000000000" w:firstRow="1" w:lastRow="0" w:firstColumn="0" w:lastColumn="0" w:oddVBand="0" w:evenVBand="0" w:oddHBand="0" w:evenHBand="0" w:firstRowFirstColumn="0" w:firstRowLastColumn="0" w:lastRowFirstColumn="0" w:lastRowLastColumn="0"/>
          <w:tblHeader/>
        </w:trPr>
        <w:tc>
          <w:tcPr>
            <w:tcW w:w="2640" w:type="dxa"/>
          </w:tcPr>
          <w:p w14:paraId="420B76F8" w14:textId="77777777" w:rsidR="00753DEE" w:rsidRDefault="00F02DE0">
            <w:pPr>
              <w:pStyle w:val="Compact"/>
            </w:pPr>
            <w:r>
              <w:t>Interface</w:t>
            </w:r>
          </w:p>
        </w:tc>
        <w:tc>
          <w:tcPr>
            <w:tcW w:w="2640" w:type="dxa"/>
          </w:tcPr>
          <w:p w14:paraId="4CDFE634" w14:textId="77777777" w:rsidR="00753DEE" w:rsidRDefault="00F02DE0">
            <w:pPr>
              <w:pStyle w:val="Compact"/>
            </w:pPr>
            <w:r>
              <w:t>SECOM Reference</w:t>
            </w:r>
          </w:p>
        </w:tc>
        <w:tc>
          <w:tcPr>
            <w:tcW w:w="2640" w:type="dxa"/>
          </w:tcPr>
          <w:p w14:paraId="448F3820" w14:textId="77777777" w:rsidR="00753DEE" w:rsidRDefault="00F02DE0">
            <w:pPr>
              <w:pStyle w:val="Compact"/>
            </w:pPr>
            <w:r>
              <w:t>Comment</w:t>
            </w:r>
          </w:p>
        </w:tc>
      </w:tr>
      <w:tr w:rsidR="00753DEE" w14:paraId="520C1164" w14:textId="77777777">
        <w:tc>
          <w:tcPr>
            <w:tcW w:w="2640" w:type="dxa"/>
          </w:tcPr>
          <w:p w14:paraId="670A38D3" w14:textId="77777777" w:rsidR="00753DEE" w:rsidRDefault="00F02DE0">
            <w:pPr>
              <w:pStyle w:val="Compact"/>
            </w:pPr>
            <w:r>
              <w:t>Get</w:t>
            </w:r>
          </w:p>
        </w:tc>
        <w:tc>
          <w:tcPr>
            <w:tcW w:w="2640" w:type="dxa"/>
          </w:tcPr>
          <w:p w14:paraId="0E32DFDB" w14:textId="77777777" w:rsidR="00753DEE" w:rsidRDefault="00F02DE0">
            <w:pPr>
              <w:pStyle w:val="Compact"/>
            </w:pPr>
            <w:r>
              <w:t>IEC 63173-2 SECOM v1.0.0 Clause 5.7.5 service interface - Get</w:t>
            </w:r>
          </w:p>
        </w:tc>
        <w:tc>
          <w:tcPr>
            <w:tcW w:w="2640" w:type="dxa"/>
          </w:tcPr>
          <w:p w14:paraId="50C288EF" w14:textId="77777777" w:rsidR="00753DEE" w:rsidRDefault="00F02DE0">
            <w:pPr>
              <w:pStyle w:val="Compact"/>
            </w:pPr>
            <w:r>
              <w:t>This interface is called when the client gets (pulls) data from the service.</w:t>
            </w:r>
          </w:p>
        </w:tc>
      </w:tr>
      <w:tr w:rsidR="00753DEE" w14:paraId="2143A437" w14:textId="77777777">
        <w:tc>
          <w:tcPr>
            <w:tcW w:w="2640" w:type="dxa"/>
          </w:tcPr>
          <w:p w14:paraId="3403F7A1" w14:textId="77777777" w:rsidR="00753DEE" w:rsidRDefault="00F02DE0">
            <w:pPr>
              <w:pStyle w:val="Compact"/>
            </w:pPr>
            <w:r>
              <w:t>Get By Link</w:t>
            </w:r>
          </w:p>
        </w:tc>
        <w:tc>
          <w:tcPr>
            <w:tcW w:w="2640" w:type="dxa"/>
          </w:tcPr>
          <w:p w14:paraId="173FAE36" w14:textId="77777777" w:rsidR="00753DEE" w:rsidRDefault="00F02DE0">
            <w:pPr>
              <w:pStyle w:val="Compact"/>
            </w:pPr>
            <w:r>
              <w:t xml:space="preserve">IEC 63173-2 SECOM v1.0.0 Clause 5.7.7 service interface - Get </w:t>
            </w:r>
            <w:proofErr w:type="gramStart"/>
            <w:r>
              <w:t>By</w:t>
            </w:r>
            <w:proofErr w:type="gramEnd"/>
            <w:r>
              <w:t xml:space="preserve"> Link</w:t>
            </w:r>
          </w:p>
        </w:tc>
        <w:tc>
          <w:tcPr>
            <w:tcW w:w="2640" w:type="dxa"/>
          </w:tcPr>
          <w:p w14:paraId="010B157A" w14:textId="77777777" w:rsidR="00753DEE" w:rsidRDefault="00F02DE0">
            <w:pPr>
              <w:pStyle w:val="Compact"/>
            </w:pPr>
            <w:r>
              <w:t>This interface is called when the client downloads (pulls) large data by reference given from interface Upload Link.</w:t>
            </w:r>
          </w:p>
        </w:tc>
      </w:tr>
      <w:tr w:rsidR="00753DEE" w14:paraId="4B87BD35" w14:textId="77777777">
        <w:tc>
          <w:tcPr>
            <w:tcW w:w="2640" w:type="dxa"/>
          </w:tcPr>
          <w:p w14:paraId="3AFFA2FB" w14:textId="77777777" w:rsidR="00753DEE" w:rsidRDefault="00F02DE0">
            <w:pPr>
              <w:pStyle w:val="Compact"/>
            </w:pPr>
            <w:r>
              <w:t>Get Summary</w:t>
            </w:r>
          </w:p>
        </w:tc>
        <w:tc>
          <w:tcPr>
            <w:tcW w:w="2640" w:type="dxa"/>
          </w:tcPr>
          <w:p w14:paraId="7C1C43B8" w14:textId="77777777" w:rsidR="00753DEE" w:rsidRDefault="00F02DE0">
            <w:pPr>
              <w:pStyle w:val="Compact"/>
            </w:pPr>
            <w:r>
              <w:t>IEC 63173-2 SECOM v1.0.0 Clause 5.7.6 service interface - Get Summary</w:t>
            </w:r>
          </w:p>
        </w:tc>
        <w:tc>
          <w:tcPr>
            <w:tcW w:w="2640" w:type="dxa"/>
          </w:tcPr>
          <w:p w14:paraId="635EEBC5" w14:textId="77777777" w:rsidR="00753DEE" w:rsidRDefault="00F02DE0">
            <w:pPr>
              <w:pStyle w:val="Compact"/>
            </w:pPr>
            <w:r>
              <w:t>This interface is called when the client gets a summary of available data from the service. The data is retrieved (pulled) using the interface Get.</w:t>
            </w:r>
          </w:p>
        </w:tc>
      </w:tr>
      <w:tr w:rsidR="00753DEE" w14:paraId="3EB523B3" w14:textId="77777777">
        <w:tc>
          <w:tcPr>
            <w:tcW w:w="2640" w:type="dxa"/>
          </w:tcPr>
          <w:p w14:paraId="31726F86" w14:textId="77777777" w:rsidR="00753DEE" w:rsidRDefault="00F02DE0">
            <w:pPr>
              <w:pStyle w:val="Compact"/>
            </w:pPr>
            <w:r>
              <w:t>Subscription</w:t>
            </w:r>
          </w:p>
        </w:tc>
        <w:tc>
          <w:tcPr>
            <w:tcW w:w="2640" w:type="dxa"/>
          </w:tcPr>
          <w:p w14:paraId="0E2D3648" w14:textId="77777777" w:rsidR="00753DEE" w:rsidRDefault="00F02DE0">
            <w:pPr>
              <w:pStyle w:val="Compact"/>
            </w:pPr>
            <w:r>
              <w:t>IEC 63173-2 SECOM v1.0.0 Clause 5.7.10 service interface - Subscription</w:t>
            </w:r>
          </w:p>
        </w:tc>
        <w:tc>
          <w:tcPr>
            <w:tcW w:w="2640" w:type="dxa"/>
          </w:tcPr>
          <w:p w14:paraId="77883062" w14:textId="77777777" w:rsidR="00753DEE" w:rsidRDefault="00F02DE0">
            <w:pPr>
              <w:pStyle w:val="Compact"/>
            </w:pPr>
            <w:r>
              <w:t>This interface is called when the client or server initiates subscription on data from the service. Response is given with interface Upload and Subscription Notification.</w:t>
            </w:r>
          </w:p>
        </w:tc>
      </w:tr>
      <w:tr w:rsidR="00753DEE" w14:paraId="3EB73758" w14:textId="77777777">
        <w:tc>
          <w:tcPr>
            <w:tcW w:w="2640" w:type="dxa"/>
          </w:tcPr>
          <w:p w14:paraId="46276CDC" w14:textId="77777777" w:rsidR="00753DEE" w:rsidRDefault="00F02DE0">
            <w:pPr>
              <w:pStyle w:val="Compact"/>
            </w:pPr>
            <w:r>
              <w:t>Remove Subscription</w:t>
            </w:r>
          </w:p>
        </w:tc>
        <w:tc>
          <w:tcPr>
            <w:tcW w:w="2640" w:type="dxa"/>
          </w:tcPr>
          <w:p w14:paraId="7187FDCC" w14:textId="77777777" w:rsidR="00753DEE" w:rsidRDefault="00F02DE0">
            <w:pPr>
              <w:pStyle w:val="Compact"/>
            </w:pPr>
            <w:r>
              <w:t>IEC 63173-2 SECOM v1.0.0 Clause 5.7.11 service interface - Remove Subscription</w:t>
            </w:r>
          </w:p>
        </w:tc>
        <w:tc>
          <w:tcPr>
            <w:tcW w:w="2640" w:type="dxa"/>
          </w:tcPr>
          <w:p w14:paraId="09207F10" w14:textId="77777777" w:rsidR="00753DEE" w:rsidRDefault="00F02DE0">
            <w:pPr>
              <w:pStyle w:val="Compact"/>
            </w:pPr>
            <w:r>
              <w:t>This interface is called when the client or server removes subscription. Response is given with interface Subscription Notification.</w:t>
            </w:r>
          </w:p>
        </w:tc>
      </w:tr>
      <w:tr w:rsidR="00753DEE" w14:paraId="75F6C6C1" w14:textId="77777777">
        <w:tc>
          <w:tcPr>
            <w:tcW w:w="2640" w:type="dxa"/>
          </w:tcPr>
          <w:p w14:paraId="15D2FD18" w14:textId="77777777" w:rsidR="00753DEE" w:rsidRDefault="00F02DE0">
            <w:pPr>
              <w:pStyle w:val="Compact"/>
            </w:pPr>
            <w:r>
              <w:t>Subscription Notification</w:t>
            </w:r>
          </w:p>
        </w:tc>
        <w:tc>
          <w:tcPr>
            <w:tcW w:w="2640" w:type="dxa"/>
          </w:tcPr>
          <w:p w14:paraId="5A443831" w14:textId="77777777" w:rsidR="00753DEE" w:rsidRDefault="00F02DE0">
            <w:pPr>
              <w:pStyle w:val="Compact"/>
            </w:pPr>
            <w:r>
              <w:t>IEC 63173-2 SECOM v1.0.0 Clause 5.7.12 service interface - Subscription Notification</w:t>
            </w:r>
          </w:p>
        </w:tc>
        <w:tc>
          <w:tcPr>
            <w:tcW w:w="2640" w:type="dxa"/>
          </w:tcPr>
          <w:p w14:paraId="062C8BAB" w14:textId="77777777" w:rsidR="00753DEE" w:rsidRDefault="00F02DE0">
            <w:pPr>
              <w:pStyle w:val="Compact"/>
            </w:pPr>
            <w:r>
              <w:t xml:space="preserve">This interface is called </w:t>
            </w:r>
            <w:proofErr w:type="gramStart"/>
            <w:r>
              <w:t>as</w:t>
            </w:r>
            <w:proofErr w:type="gramEnd"/>
            <w:r>
              <w:t xml:space="preserve"> response from Subscription or Remove Subscription.</w:t>
            </w:r>
          </w:p>
        </w:tc>
      </w:tr>
      <w:tr w:rsidR="00753DEE" w14:paraId="1DECE04F" w14:textId="77777777">
        <w:tc>
          <w:tcPr>
            <w:tcW w:w="2640" w:type="dxa"/>
          </w:tcPr>
          <w:p w14:paraId="1733DDB1" w14:textId="77777777" w:rsidR="00753DEE" w:rsidRDefault="00F02DE0">
            <w:pPr>
              <w:pStyle w:val="Compact"/>
            </w:pPr>
            <w:r>
              <w:t>Upload</w:t>
            </w:r>
          </w:p>
        </w:tc>
        <w:tc>
          <w:tcPr>
            <w:tcW w:w="2640" w:type="dxa"/>
          </w:tcPr>
          <w:p w14:paraId="3BCC8147" w14:textId="77777777" w:rsidR="00753DEE" w:rsidRDefault="00F02DE0">
            <w:pPr>
              <w:pStyle w:val="Compact"/>
            </w:pPr>
            <w:r>
              <w:t>IEC 63173-2 SECOM v1.0.0 Clause 5.7.2 service interface - Upload</w:t>
            </w:r>
          </w:p>
        </w:tc>
        <w:tc>
          <w:tcPr>
            <w:tcW w:w="2640" w:type="dxa"/>
          </w:tcPr>
          <w:p w14:paraId="2F88608D" w14:textId="77777777" w:rsidR="00753DEE" w:rsidRDefault="00F02DE0">
            <w:pPr>
              <w:pStyle w:val="Compact"/>
            </w:pPr>
            <w:r>
              <w:t xml:space="preserve">This interface is called when the client uploads (pushes) data to the service. </w:t>
            </w:r>
            <w:r>
              <w:lastRenderedPageBreak/>
              <w:t>The sender (client) decides the format and protection of the data.</w:t>
            </w:r>
          </w:p>
        </w:tc>
      </w:tr>
      <w:tr w:rsidR="00753DEE" w14:paraId="14D17A98" w14:textId="77777777">
        <w:tc>
          <w:tcPr>
            <w:tcW w:w="2640" w:type="dxa"/>
          </w:tcPr>
          <w:p w14:paraId="2365FD6F" w14:textId="77777777" w:rsidR="00753DEE" w:rsidRDefault="00F02DE0">
            <w:pPr>
              <w:pStyle w:val="Compact"/>
            </w:pPr>
            <w:r>
              <w:lastRenderedPageBreak/>
              <w:t>Upload Link</w:t>
            </w:r>
          </w:p>
        </w:tc>
        <w:tc>
          <w:tcPr>
            <w:tcW w:w="2640" w:type="dxa"/>
          </w:tcPr>
          <w:p w14:paraId="1AB850C9" w14:textId="77777777" w:rsidR="00753DEE" w:rsidRDefault="00F02DE0">
            <w:pPr>
              <w:pStyle w:val="Compact"/>
            </w:pPr>
            <w:r>
              <w:t>IEC 63173-2 SECOM v1.0.0 Clause 5.7.3 service interface - Upload Link</w:t>
            </w:r>
          </w:p>
        </w:tc>
        <w:tc>
          <w:tcPr>
            <w:tcW w:w="2640" w:type="dxa"/>
          </w:tcPr>
          <w:p w14:paraId="2BFFF11C" w14:textId="77777777" w:rsidR="00753DEE" w:rsidRDefault="00F02DE0">
            <w:pPr>
              <w:pStyle w:val="Compact"/>
            </w:pPr>
            <w:r>
              <w:t xml:space="preserve">This interface is called when the client uploads (pushes) a reference pointer to large data. The data is downloaded using interface Get </w:t>
            </w:r>
            <w:proofErr w:type="gramStart"/>
            <w:r>
              <w:t>By</w:t>
            </w:r>
            <w:proofErr w:type="gramEnd"/>
            <w:r>
              <w:t xml:space="preserve"> Link.</w:t>
            </w:r>
          </w:p>
        </w:tc>
      </w:tr>
      <w:tr w:rsidR="00753DEE" w14:paraId="5ACCDF55" w14:textId="77777777">
        <w:tc>
          <w:tcPr>
            <w:tcW w:w="2640" w:type="dxa"/>
          </w:tcPr>
          <w:p w14:paraId="4358CE45" w14:textId="77777777" w:rsidR="00753DEE" w:rsidRDefault="00F02DE0">
            <w:pPr>
              <w:pStyle w:val="Compact"/>
            </w:pPr>
            <w:r>
              <w:t>Acknowledgement</w:t>
            </w:r>
          </w:p>
        </w:tc>
        <w:tc>
          <w:tcPr>
            <w:tcW w:w="2640" w:type="dxa"/>
          </w:tcPr>
          <w:p w14:paraId="40EDF79F" w14:textId="77777777" w:rsidR="00753DEE" w:rsidRDefault="00F02DE0">
            <w:pPr>
              <w:pStyle w:val="Compact"/>
            </w:pPr>
            <w:r>
              <w:t>IEC 63173-2 SECOM v1.0.0 Clause 5.7.4 service interface - Acknowledgement</w:t>
            </w:r>
          </w:p>
        </w:tc>
        <w:tc>
          <w:tcPr>
            <w:tcW w:w="2640" w:type="dxa"/>
          </w:tcPr>
          <w:p w14:paraId="04415E57" w14:textId="77777777" w:rsidR="00753DEE" w:rsidRDefault="00F02DE0">
            <w:pPr>
              <w:pStyle w:val="Compact"/>
            </w:pPr>
            <w:r>
              <w:t>This interface is called as response to Acknowledgement request in Upload.</w:t>
            </w:r>
          </w:p>
        </w:tc>
      </w:tr>
      <w:tr w:rsidR="00753DEE" w14:paraId="4AAD20E5" w14:textId="77777777">
        <w:tc>
          <w:tcPr>
            <w:tcW w:w="2640" w:type="dxa"/>
          </w:tcPr>
          <w:p w14:paraId="00A0B4C5" w14:textId="77777777" w:rsidR="00753DEE" w:rsidRDefault="00F02DE0">
            <w:pPr>
              <w:pStyle w:val="Compact"/>
            </w:pPr>
            <w:r>
              <w:t>Capability</w:t>
            </w:r>
          </w:p>
        </w:tc>
        <w:tc>
          <w:tcPr>
            <w:tcW w:w="2640" w:type="dxa"/>
          </w:tcPr>
          <w:p w14:paraId="3043AAD5" w14:textId="77777777" w:rsidR="00753DEE" w:rsidRDefault="00F02DE0">
            <w:pPr>
              <w:pStyle w:val="Compact"/>
            </w:pPr>
            <w:r>
              <w:t>IEC 63173-2 SECOM v1.0.0 Clause 5.7.13 service interface - Capability</w:t>
            </w:r>
          </w:p>
        </w:tc>
        <w:tc>
          <w:tcPr>
            <w:tcW w:w="2640" w:type="dxa"/>
          </w:tcPr>
          <w:p w14:paraId="2EFD68E0" w14:textId="77777777" w:rsidR="00753DEE" w:rsidRDefault="00F02DE0">
            <w:pPr>
              <w:pStyle w:val="Compact"/>
            </w:pPr>
            <w:r>
              <w:t>This interface is called when the client asks for the service capabilities.</w:t>
            </w:r>
          </w:p>
        </w:tc>
      </w:tr>
      <w:tr w:rsidR="00753DEE" w14:paraId="65F558EF" w14:textId="77777777">
        <w:tc>
          <w:tcPr>
            <w:tcW w:w="2640" w:type="dxa"/>
          </w:tcPr>
          <w:p w14:paraId="6ED3C645" w14:textId="77777777" w:rsidR="00753DEE" w:rsidRDefault="00F02DE0">
            <w:pPr>
              <w:pStyle w:val="Compact"/>
            </w:pPr>
            <w:r>
              <w:t>Ping</w:t>
            </w:r>
          </w:p>
        </w:tc>
        <w:tc>
          <w:tcPr>
            <w:tcW w:w="2640" w:type="dxa"/>
          </w:tcPr>
          <w:p w14:paraId="4D6A3BC1" w14:textId="77777777" w:rsidR="00753DEE" w:rsidRDefault="00F02DE0">
            <w:pPr>
              <w:pStyle w:val="Compact"/>
            </w:pPr>
            <w:r>
              <w:t>IEC 63173-2 SECOM v1.0.0 Clause 5.7.14 service interface - Ping</w:t>
            </w:r>
          </w:p>
        </w:tc>
        <w:tc>
          <w:tcPr>
            <w:tcW w:w="2640" w:type="dxa"/>
          </w:tcPr>
          <w:p w14:paraId="7F832A29" w14:textId="77777777" w:rsidR="00753DEE" w:rsidRDefault="00F02DE0">
            <w:pPr>
              <w:pStyle w:val="Compact"/>
            </w:pPr>
            <w:r>
              <w:t>This interface is called when the client checks the availability of the service.</w:t>
            </w:r>
          </w:p>
        </w:tc>
      </w:tr>
      <w:tr w:rsidR="00753DEE" w14:paraId="03A228C7" w14:textId="77777777">
        <w:tc>
          <w:tcPr>
            <w:tcW w:w="2640" w:type="dxa"/>
          </w:tcPr>
          <w:p w14:paraId="1061B459" w14:textId="77777777" w:rsidR="00753DEE" w:rsidRDefault="00F02DE0">
            <w:pPr>
              <w:pStyle w:val="Compact"/>
            </w:pPr>
            <w:proofErr w:type="spellStart"/>
            <w:r>
              <w:t>PublicKey</w:t>
            </w:r>
            <w:proofErr w:type="spellEnd"/>
          </w:p>
        </w:tc>
        <w:tc>
          <w:tcPr>
            <w:tcW w:w="2640" w:type="dxa"/>
          </w:tcPr>
          <w:p w14:paraId="0F5086E9" w14:textId="77777777" w:rsidR="00753DEE" w:rsidRDefault="00F02DE0">
            <w:pPr>
              <w:pStyle w:val="Compact"/>
            </w:pPr>
            <w:r>
              <w:t xml:space="preserve">IEC 63173-2 SECOM v1.0.0 Clause 5.7.16 service interface - </w:t>
            </w:r>
            <w:proofErr w:type="spellStart"/>
            <w:r>
              <w:t>PublicKey</w:t>
            </w:r>
            <w:proofErr w:type="spellEnd"/>
          </w:p>
        </w:tc>
        <w:tc>
          <w:tcPr>
            <w:tcW w:w="2640" w:type="dxa"/>
          </w:tcPr>
          <w:p w14:paraId="1F54648D" w14:textId="77777777" w:rsidR="00753DEE" w:rsidRDefault="00F02DE0">
            <w:pPr>
              <w:pStyle w:val="Compact"/>
            </w:pPr>
            <w:r>
              <w:t>This interface is called when the client gets (pulls) the public certificate(s) from the service.</w:t>
            </w:r>
          </w:p>
        </w:tc>
      </w:tr>
    </w:tbl>
    <w:bookmarkEnd w:id="31"/>
    <w:p w14:paraId="7F030C91" w14:textId="77777777" w:rsidR="00753DEE" w:rsidRDefault="00F02DE0">
      <w:pPr>
        <w:pStyle w:val="BodyText"/>
      </w:pPr>
      <w:r>
        <w:t>All unused interfaces of SECOM should be implemented to return HTTP 501 as specified in [2].</w:t>
      </w:r>
    </w:p>
    <w:p w14:paraId="3306124F" w14:textId="77777777" w:rsidR="00753DEE" w:rsidRDefault="00F02DE0">
      <w:pPr>
        <w:pStyle w:val="BodyText"/>
      </w:pPr>
      <w:r>
        <w:t>There are three components that are of interest from the perspective of the service design:</w:t>
      </w:r>
    </w:p>
    <w:p w14:paraId="0AF92F74" w14:textId="77777777" w:rsidR="00753DEE" w:rsidRDefault="00F02DE0">
      <w:pPr>
        <w:pStyle w:val="Compact"/>
        <w:numPr>
          <w:ilvl w:val="0"/>
          <w:numId w:val="68"/>
        </w:numPr>
      </w:pPr>
      <w:r>
        <w:t>The data provider’s service has a SECOM-component which supports the SECOM REST APIs defined in the table above. All other components of the service are left to the decisions of the implementing party.</w:t>
      </w:r>
    </w:p>
    <w:p w14:paraId="149E24F3" w14:textId="77777777" w:rsidR="00753DEE" w:rsidRDefault="00F02DE0">
      <w:pPr>
        <w:pStyle w:val="Compact"/>
        <w:numPr>
          <w:ilvl w:val="0"/>
          <w:numId w:val="68"/>
        </w:numPr>
      </w:pPr>
      <w:r>
        <w:t xml:space="preserve">The data consumer client has a </w:t>
      </w:r>
      <w:proofErr w:type="gramStart"/>
      <w:r>
        <w:t>SECOM-component</w:t>
      </w:r>
      <w:proofErr w:type="gramEnd"/>
      <w:r>
        <w:t xml:space="preserve"> which will accept the incoming connections from the service and store all messages until delivered to the vessel. This interface is typically on a shoreside server as it must be always available and at a reachable address.</w:t>
      </w:r>
    </w:p>
    <w:p w14:paraId="11FC2D69" w14:textId="77777777" w:rsidR="00753DEE" w:rsidRDefault="00F02DE0">
      <w:pPr>
        <w:pStyle w:val="Compact"/>
        <w:numPr>
          <w:ilvl w:val="0"/>
          <w:numId w:val="68"/>
        </w:numPr>
      </w:pPr>
      <w:r>
        <w:t>The data consumer client also supports a SECOM client which allows it to make direct SECOM calls to the service without having to proxy all calls via the SECOM-component on shore.</w:t>
      </w:r>
    </w:p>
    <w:p w14:paraId="1266D24A" w14:textId="77777777" w:rsidR="00753DEE" w:rsidRDefault="00F02DE0">
      <w:pPr>
        <w:pStyle w:val="FirstParagraph"/>
      </w:pPr>
      <w:r>
        <w:t xml:space="preserve">In this service design we will not define the communication between the data provider and the </w:t>
      </w:r>
      <w:proofErr w:type="spellStart"/>
      <w:r>
        <w:t>AtoN</w:t>
      </w:r>
      <w:proofErr w:type="spellEnd"/>
      <w:r>
        <w:t xml:space="preserve"> information SECOM service or between the ship and the ship’s shoreside SECOM-component. These are specific for each implementation and depend on the general system architecture and implementation decisions.</w:t>
      </w:r>
    </w:p>
    <w:p w14:paraId="0D9E1CC1" w14:textId="77777777" w:rsidR="00753DEE" w:rsidRDefault="00F02DE0">
      <w:pPr>
        <w:pStyle w:val="Heading2"/>
      </w:pPr>
      <w:bookmarkStart w:id="36" w:name="_Toc225155468"/>
      <w:bookmarkStart w:id="37" w:name="sec:service_overview_discovery"/>
      <w:bookmarkEnd w:id="33"/>
      <w:r>
        <w:t>Service Discovery</w:t>
      </w:r>
      <w:bookmarkEnd w:id="36"/>
    </w:p>
    <w:p w14:paraId="05C1D09D" w14:textId="77777777" w:rsidR="00753DEE" w:rsidRDefault="00F02DE0">
      <w:pPr>
        <w:pStyle w:val="FirstParagraph"/>
      </w:pPr>
      <w:r>
        <w:t>Services implemented according to this design must submit their instance description to a valid service registry that follows the IALA G1129 Maritime Service Registry (MSR) [7] technical specification.</w:t>
      </w:r>
    </w:p>
    <w:p w14:paraId="776CC8DC" w14:textId="77777777" w:rsidR="00753DEE" w:rsidRDefault="00F02DE0">
      <w:pPr>
        <w:pStyle w:val="BodyText"/>
      </w:pPr>
      <w:r>
        <w:t>An XML template for the instance description is provided as an annex to this design ANNEX B Section 12.</w:t>
      </w:r>
    </w:p>
    <w:p w14:paraId="2362981C" w14:textId="77777777" w:rsidR="00753DEE" w:rsidRDefault="00F02DE0">
      <w:r>
        <w:br w:type="page"/>
      </w:r>
    </w:p>
    <w:p w14:paraId="18722B23" w14:textId="77777777" w:rsidR="00753DEE" w:rsidRDefault="00F02DE0">
      <w:pPr>
        <w:pStyle w:val="Heading1"/>
      </w:pPr>
      <w:bookmarkStart w:id="38" w:name="_Toc225155469"/>
      <w:bookmarkStart w:id="39" w:name="sec:service_data_model"/>
      <w:bookmarkEnd w:id="35"/>
      <w:bookmarkEnd w:id="37"/>
      <w:r>
        <w:lastRenderedPageBreak/>
        <w:t>Service Data Model</w:t>
      </w:r>
      <w:bookmarkEnd w:id="38"/>
    </w:p>
    <w:p w14:paraId="6EEDA3B2" w14:textId="77777777" w:rsidR="00753DEE" w:rsidRDefault="00F02DE0">
      <w:pPr>
        <w:pStyle w:val="FirstParagraph"/>
      </w:pPr>
      <w:r>
        <w:t>This section describes the logical data structures to be exchanged between providers and consumers of the service. The service data model is bound by the current definition of the IHO S-125. For complete and updated documentation refer to the latest S-125 Product Specification which can be found at:</w:t>
      </w:r>
    </w:p>
    <w:p w14:paraId="2DADD688" w14:textId="77777777" w:rsidR="00753DEE" w:rsidRDefault="00F02DE0">
      <w:pPr>
        <w:pStyle w:val="SourceCode"/>
      </w:pPr>
      <w:r>
        <w:rPr>
          <w:rStyle w:val="VerbatimChar"/>
        </w:rPr>
        <w:t>https://iho.int/en/nipwg-product-specifications.</w:t>
      </w:r>
    </w:p>
    <w:p w14:paraId="010BE46B" w14:textId="77777777" w:rsidR="00753DEE" w:rsidRDefault="00F02DE0">
      <w:pPr>
        <w:pStyle w:val="FirstParagraph"/>
      </w:pPr>
      <w:r>
        <w:t>Included in the service data model is a full description followed by specific extracts for;</w:t>
      </w:r>
    </w:p>
    <w:p w14:paraId="40469B83" w14:textId="77777777" w:rsidR="00753DEE" w:rsidRDefault="00F02DE0">
      <w:pPr>
        <w:pStyle w:val="Compact"/>
        <w:numPr>
          <w:ilvl w:val="0"/>
          <w:numId w:val="69"/>
        </w:numPr>
      </w:pPr>
      <w:proofErr w:type="spellStart"/>
      <w:r>
        <w:t>AtoN</w:t>
      </w:r>
      <w:proofErr w:type="spellEnd"/>
      <w:r>
        <w:t xml:space="preserve"> Information Features and Information types</w:t>
      </w:r>
    </w:p>
    <w:p w14:paraId="6FC8C4BC" w14:textId="77777777" w:rsidR="00753DEE" w:rsidRDefault="00F02DE0">
      <w:pPr>
        <w:pStyle w:val="Compact"/>
        <w:numPr>
          <w:ilvl w:val="0"/>
          <w:numId w:val="69"/>
        </w:numPr>
      </w:pPr>
      <w:r>
        <w:t>Enumerations</w:t>
      </w:r>
    </w:p>
    <w:p w14:paraId="043044EE" w14:textId="77777777" w:rsidR="00753DEE" w:rsidRDefault="00F02DE0">
      <w:pPr>
        <w:pStyle w:val="Compact"/>
        <w:numPr>
          <w:ilvl w:val="0"/>
          <w:numId w:val="69"/>
        </w:numPr>
      </w:pPr>
      <w:r>
        <w:t>Complex Attributes</w:t>
      </w:r>
    </w:p>
    <w:p w14:paraId="4AD10FD7" w14:textId="77777777" w:rsidR="00753DEE" w:rsidRDefault="00F02DE0">
      <w:pPr>
        <w:pStyle w:val="FirstParagraph"/>
      </w:pPr>
      <w:r>
        <w:t>Note that the S-100 specification [8] describes in Appendix 9-B how S-100 based data models shall be formulated in XML schema format.</w:t>
      </w:r>
    </w:p>
    <w:p w14:paraId="5159797B" w14:textId="77777777" w:rsidR="00753DEE" w:rsidRDefault="00F02DE0">
      <w:pPr>
        <w:pStyle w:val="BodyText"/>
      </w:pPr>
      <w:r>
        <w:t xml:space="preserve">Since the main purpose of the discussed service is to provide </w:t>
      </w:r>
      <w:proofErr w:type="spellStart"/>
      <w:r>
        <w:t>AtoN</w:t>
      </w:r>
      <w:proofErr w:type="spellEnd"/>
      <w:r>
        <w:t xml:space="preserve"> information to ECDIS, the S-125 information should be packaged as S-100 datasets, alongside any necessary metadata and other support information. The S-100 data model specification [8] in Appendix 4aS-100 Part 17, introduces the Exchange Set data structure, precisely for supporting this functionality. To indicate that S-125 datasets are coupled with additional service metadata, we refer to the type S100ExchangeSet (see Figure 1).</w:t>
      </w:r>
    </w:p>
    <w:p w14:paraId="70963D5F" w14:textId="77777777" w:rsidR="00753DEE" w:rsidRDefault="00F02DE0">
      <w:pPr>
        <w:pStyle w:val="CaptionedFigure"/>
      </w:pPr>
      <w:r>
        <w:rPr>
          <w:noProof/>
        </w:rPr>
        <w:drawing>
          <wp:inline distT="0" distB="0" distL="0" distR="0" wp14:anchorId="5FAE3F6E" wp14:editId="3AC445D7">
            <wp:extent cx="4210050" cy="1666875"/>
            <wp:effectExtent l="0" t="0" r="0" b="0"/>
            <wp:docPr id="1" name="Picture" descr="S-125 dataset coupled with service metadata in an S-100 Exchange Set."/>
            <wp:cNvGraphicFramePr/>
            <a:graphic xmlns:a="http://schemas.openxmlformats.org/drawingml/2006/main">
              <a:graphicData uri="http://schemas.openxmlformats.org/drawingml/2006/picture">
                <pic:pic xmlns:pic="http://schemas.openxmlformats.org/drawingml/2006/picture">
                  <pic:nvPicPr>
                    <pic:cNvPr id="1" name="Picture" descr="source/guideline/../../resources/S125WithMetadata.png"/>
                    <pic:cNvPicPr>
                      <a:picLocks noChangeAspect="1" noChangeArrowheads="1"/>
                    </pic:cNvPicPr>
                  </pic:nvPicPr>
                  <pic:blipFill>
                    <a:blip r:embed="rId25"/>
                    <a:stretch>
                      <a:fillRect/>
                    </a:stretch>
                  </pic:blipFill>
                  <pic:spPr bwMode="auto">
                    <a:xfrm>
                      <a:off x="0" y="0"/>
                      <a:ext cx="4210050" cy="1666875"/>
                    </a:xfrm>
                    <a:prstGeom prst="rect">
                      <a:avLst/>
                    </a:prstGeom>
                    <a:noFill/>
                    <a:ln w="9525">
                      <a:noFill/>
                      <a:headEnd/>
                      <a:tailEnd/>
                    </a:ln>
                  </pic:spPr>
                </pic:pic>
              </a:graphicData>
            </a:graphic>
          </wp:inline>
        </w:drawing>
      </w:r>
    </w:p>
    <w:p w14:paraId="4EBD4F9C" w14:textId="77777777" w:rsidR="00753DEE" w:rsidRDefault="00F02DE0">
      <w:pPr>
        <w:pStyle w:val="ImageCaption"/>
        <w:numPr>
          <w:ilvl w:val="0"/>
          <w:numId w:val="70"/>
        </w:numPr>
      </w:pPr>
      <w:bookmarkStart w:id="40" w:name="_Toc225155447"/>
      <w:r>
        <w:t>S-125 dataset coupled with service metadata in an S-100 Exchange Set.</w:t>
      </w:r>
      <w:bookmarkEnd w:id="40"/>
    </w:p>
    <w:p w14:paraId="4FA3F54E" w14:textId="77777777" w:rsidR="00753DEE" w:rsidRDefault="00F02DE0">
      <w:pPr>
        <w:pStyle w:val="BodyText"/>
      </w:pPr>
      <w:r>
        <w:t xml:space="preserve">All </w:t>
      </w:r>
      <w:proofErr w:type="spellStart"/>
      <w:r>
        <w:t>AtoN</w:t>
      </w:r>
      <w:proofErr w:type="spellEnd"/>
      <w:r>
        <w:t xml:space="preserve"> information that is sent for use and display on an Electronic Chart Display and Information System (ECDIS) should always be packaged using an S-100 Exchange Set structure. All other cases, including third-party Electronic Chart Systems (ECS), may make use of the plain S-100 Dataset packaging option.</w:t>
      </w:r>
    </w:p>
    <w:p w14:paraId="60067ECF" w14:textId="77777777" w:rsidR="00753DEE" w:rsidRDefault="00F02DE0">
      <w:pPr>
        <w:pStyle w:val="Heading2"/>
      </w:pPr>
      <w:bookmarkStart w:id="41" w:name="_Toc225155470"/>
      <w:bookmarkStart w:id="42" w:name="service-internal-data-model"/>
      <w:r>
        <w:t>Service Internal Data Model</w:t>
      </w:r>
      <w:bookmarkEnd w:id="41"/>
    </w:p>
    <w:p w14:paraId="743BC45B" w14:textId="77777777" w:rsidR="00753DEE" w:rsidRDefault="00F02DE0">
      <w:pPr>
        <w:pStyle w:val="FirstParagraph"/>
      </w:pPr>
      <w:r>
        <w:t>As the S-125 data model, used to represent the transmitted data, is developed independently from this service specification, the internal data model of the service should be adequate to generate the required S-125 datasets. In addition, a way to store service metadata that are not directly related to the data model (internal service identifies, signatures, etc.) is required. For further information, refer to IALA Guideline 1157. However, these metadata are mostly implementation specific and therefore are no</w:t>
      </w:r>
      <w:r>
        <w:t>t discussed in this service specification. Examples on how to implement this functionality can also be found in the IMO’s S-100 data model specification [8], as well as the SECOM standard [2].</w:t>
      </w:r>
    </w:p>
    <w:p w14:paraId="33E8CC3F" w14:textId="77777777" w:rsidR="00753DEE" w:rsidRDefault="00F02DE0">
      <w:r>
        <w:br w:type="page"/>
      </w:r>
    </w:p>
    <w:p w14:paraId="04F06A07" w14:textId="77777777" w:rsidR="00753DEE" w:rsidRDefault="00F02DE0">
      <w:pPr>
        <w:pStyle w:val="Heading1"/>
      </w:pPr>
      <w:bookmarkStart w:id="43" w:name="_Toc225155471"/>
      <w:bookmarkStart w:id="44" w:name="sec:interface-behaviour"/>
      <w:bookmarkEnd w:id="39"/>
      <w:bookmarkEnd w:id="42"/>
      <w:r>
        <w:lastRenderedPageBreak/>
        <w:t>Service Interface Behaviour</w:t>
      </w:r>
      <w:bookmarkEnd w:id="43"/>
    </w:p>
    <w:p w14:paraId="1620398E" w14:textId="77777777" w:rsidR="00753DEE" w:rsidRDefault="00F02DE0">
      <w:pPr>
        <w:pStyle w:val="FirstParagraph"/>
      </w:pPr>
      <w:r>
        <w:t>As defined by SECOM, all communication between the components of the service that are in the scope of this design document is achieved via REST calls.</w:t>
      </w:r>
    </w:p>
    <w:p w14:paraId="6D4CBA1A" w14:textId="77777777" w:rsidR="00753DEE" w:rsidRDefault="00F02DE0">
      <w:pPr>
        <w:pStyle w:val="BodyText"/>
      </w:pPr>
      <w:r>
        <w:t xml:space="preserve">Additional information on the interfaces and parameters is available in the attached </w:t>
      </w:r>
      <w:proofErr w:type="spellStart"/>
      <w:r>
        <w:t>OpenAPI</w:t>
      </w:r>
      <w:proofErr w:type="spellEnd"/>
      <w:r>
        <w:t xml:space="preserve"> template of service in the Annex of Section 11.</w:t>
      </w:r>
    </w:p>
    <w:p w14:paraId="338C5628" w14:textId="77777777" w:rsidR="00753DEE" w:rsidRDefault="00F02DE0">
      <w:pPr>
        <w:pStyle w:val="Heading2"/>
      </w:pPr>
      <w:bookmarkStart w:id="45" w:name="_Toc225155472"/>
      <w:bookmarkStart w:id="46" w:name="sec:interface_behaviour_common"/>
      <w:r>
        <w:t>Common</w:t>
      </w:r>
      <w:bookmarkEnd w:id="45"/>
    </w:p>
    <w:p w14:paraId="29D206C9" w14:textId="77777777" w:rsidR="00753DEE" w:rsidRDefault="00F02DE0">
      <w:pPr>
        <w:pStyle w:val="FirstParagraph"/>
      </w:pPr>
      <w:r>
        <w:t>The definitions of the service interfaces in this section, assume the following actors:</w:t>
      </w:r>
    </w:p>
    <w:p w14:paraId="795B2715" w14:textId="77777777" w:rsidR="00753DEE" w:rsidRDefault="00F02DE0">
      <w:pPr>
        <w:pStyle w:val="Compact"/>
        <w:numPr>
          <w:ilvl w:val="0"/>
          <w:numId w:val="71"/>
        </w:numPr>
      </w:pPr>
      <w:r>
        <w:t xml:space="preserve">An </w:t>
      </w:r>
      <w:proofErr w:type="spellStart"/>
      <w:r>
        <w:t>AtoN</w:t>
      </w:r>
      <w:proofErr w:type="spellEnd"/>
      <w:r>
        <w:t xml:space="preserve"> information provision service, identified as the </w:t>
      </w:r>
      <w:r>
        <w:rPr>
          <w:i/>
          <w:iCs/>
        </w:rPr>
        <w:t>Data Provider/Server</w:t>
      </w:r>
      <w:r>
        <w:t>.</w:t>
      </w:r>
    </w:p>
    <w:p w14:paraId="38F73735" w14:textId="77777777" w:rsidR="00753DEE" w:rsidRDefault="00F02DE0">
      <w:pPr>
        <w:pStyle w:val="Compact"/>
        <w:numPr>
          <w:ilvl w:val="0"/>
          <w:numId w:val="71"/>
        </w:numPr>
      </w:pPr>
      <w:r>
        <w:t xml:space="preserve">A digital communication device onboard the ship (interconnected with the ship’s ECDIS), identified as the </w:t>
      </w:r>
      <w:r>
        <w:rPr>
          <w:i/>
          <w:iCs/>
        </w:rPr>
        <w:t>Data Receiver/Consumer</w:t>
      </w:r>
      <w:r>
        <w:t>.</w:t>
      </w:r>
    </w:p>
    <w:p w14:paraId="7F0DB95A" w14:textId="77777777" w:rsidR="00753DEE" w:rsidRDefault="00F02DE0">
      <w:pPr>
        <w:pStyle w:val="FirstParagraph"/>
      </w:pPr>
      <w:r>
        <w:t>All parameters that are not set, should be omitted or can passed with a null value.</w:t>
      </w:r>
    </w:p>
    <w:p w14:paraId="4C8CAE60" w14:textId="77777777" w:rsidR="00753DEE" w:rsidRDefault="00F02DE0">
      <w:pPr>
        <w:pStyle w:val="Heading3"/>
      </w:pPr>
      <w:bookmarkStart w:id="47" w:name="_Toc225155473"/>
      <w:bookmarkStart w:id="48" w:name="sec:interface_behaviour_common_params"/>
      <w:r>
        <w:t>Common parameter values</w:t>
      </w:r>
      <w:bookmarkEnd w:id="47"/>
    </w:p>
    <w:p w14:paraId="4C0A7C4E" w14:textId="77777777" w:rsidR="00753DEE" w:rsidRDefault="00F02DE0">
      <w:pPr>
        <w:pStyle w:val="FirstParagraph"/>
      </w:pPr>
      <w:r>
        <w:t>For all interfaces, the following parameter values must be used when applicable:</w:t>
      </w:r>
    </w:p>
    <w:p w14:paraId="494F9799" w14:textId="77777777" w:rsidR="00753DEE" w:rsidRDefault="00F02DE0">
      <w:pPr>
        <w:pStyle w:val="Compact"/>
        <w:numPr>
          <w:ilvl w:val="0"/>
          <w:numId w:val="72"/>
        </w:numPr>
      </w:pPr>
      <w:proofErr w:type="spellStart"/>
      <w:r>
        <w:rPr>
          <w:b/>
          <w:bCs/>
          <w:i/>
          <w:iCs/>
        </w:rPr>
        <w:t>containerType</w:t>
      </w:r>
      <w:proofErr w:type="spellEnd"/>
      <w:r>
        <w:t xml:space="preserve"> - should match the container type used to package the </w:t>
      </w:r>
      <w:proofErr w:type="spellStart"/>
      <w:r>
        <w:t>AtoN</w:t>
      </w:r>
      <w:proofErr w:type="spellEnd"/>
      <w:r>
        <w:t xml:space="preserve"> information (i.e. “0” for S-125 datasets and “1” for S-100 Exchange-Sets).</w:t>
      </w:r>
    </w:p>
    <w:p w14:paraId="0D77AB91" w14:textId="77777777" w:rsidR="00753DEE" w:rsidRDefault="00F02DE0">
      <w:pPr>
        <w:pStyle w:val="Compact"/>
        <w:numPr>
          <w:ilvl w:val="0"/>
          <w:numId w:val="72"/>
        </w:numPr>
      </w:pPr>
      <w:proofErr w:type="spellStart"/>
      <w:r>
        <w:rPr>
          <w:b/>
          <w:bCs/>
          <w:i/>
          <w:iCs/>
        </w:rPr>
        <w:t>dataProductType</w:t>
      </w:r>
      <w:proofErr w:type="spellEnd"/>
      <w:r>
        <w:t xml:space="preserve"> - must always be “S-125”.</w:t>
      </w:r>
    </w:p>
    <w:p w14:paraId="42FD8B21" w14:textId="77777777" w:rsidR="00753DEE" w:rsidRDefault="00F02DE0">
      <w:pPr>
        <w:pStyle w:val="Compact"/>
        <w:numPr>
          <w:ilvl w:val="0"/>
          <w:numId w:val="72"/>
        </w:numPr>
      </w:pPr>
      <w:proofErr w:type="spellStart"/>
      <w:r>
        <w:rPr>
          <w:b/>
          <w:bCs/>
          <w:i/>
          <w:iCs/>
        </w:rPr>
        <w:t>dataProductVersion</w:t>
      </w:r>
      <w:proofErr w:type="spellEnd"/>
      <w:r>
        <w:t xml:space="preserve"> - must be the S-125 version expected.</w:t>
      </w:r>
    </w:p>
    <w:p w14:paraId="13CF4656" w14:textId="77777777" w:rsidR="00753DEE" w:rsidRDefault="00F02DE0">
      <w:pPr>
        <w:pStyle w:val="Compact"/>
        <w:numPr>
          <w:ilvl w:val="0"/>
          <w:numId w:val="72"/>
        </w:numPr>
      </w:pPr>
      <w:proofErr w:type="spellStart"/>
      <w:r>
        <w:rPr>
          <w:b/>
          <w:bCs/>
          <w:i/>
          <w:iCs/>
        </w:rPr>
        <w:t>exchangeMetadata</w:t>
      </w:r>
      <w:proofErr w:type="spellEnd"/>
      <w:r>
        <w:t xml:space="preserve"> - must contain all fields mandated by SECOM for the secure exchange of </w:t>
      </w:r>
      <w:proofErr w:type="spellStart"/>
      <w:r>
        <w:t>AtoN</w:t>
      </w:r>
      <w:proofErr w:type="spellEnd"/>
      <w:r>
        <w:t xml:space="preserve"> information.</w:t>
      </w:r>
    </w:p>
    <w:p w14:paraId="11CA0073" w14:textId="77777777" w:rsidR="00753DEE" w:rsidRDefault="00F02DE0">
      <w:pPr>
        <w:pStyle w:val="Compact"/>
        <w:numPr>
          <w:ilvl w:val="0"/>
          <w:numId w:val="72"/>
        </w:numPr>
      </w:pPr>
      <w:proofErr w:type="spellStart"/>
      <w:r>
        <w:rPr>
          <w:b/>
          <w:bCs/>
          <w:i/>
          <w:iCs/>
        </w:rPr>
        <w:t>protectionScheme</w:t>
      </w:r>
      <w:proofErr w:type="spellEnd"/>
      <w:r>
        <w:t xml:space="preserve"> - must always be “SECOM”.</w:t>
      </w:r>
    </w:p>
    <w:p w14:paraId="0D7FFFE4" w14:textId="77777777" w:rsidR="00753DEE" w:rsidRDefault="00F02DE0">
      <w:pPr>
        <w:pStyle w:val="Compact"/>
        <w:numPr>
          <w:ilvl w:val="0"/>
          <w:numId w:val="72"/>
        </w:numPr>
      </w:pPr>
      <w:proofErr w:type="spellStart"/>
      <w:r>
        <w:rPr>
          <w:b/>
          <w:bCs/>
          <w:i/>
          <w:iCs/>
        </w:rPr>
        <w:t>transactionIdentifier</w:t>
      </w:r>
      <w:proofErr w:type="spellEnd"/>
      <w:r>
        <w:t xml:space="preserve"> (</w:t>
      </w:r>
      <w:proofErr w:type="spellStart"/>
      <w:r>
        <w:t>transactionId</w:t>
      </w:r>
      <w:proofErr w:type="spellEnd"/>
      <w:r>
        <w:t>) - must be a UUID. It must be unique for each transaction.</w:t>
      </w:r>
    </w:p>
    <w:p w14:paraId="02888594" w14:textId="77777777" w:rsidR="00753DEE" w:rsidRDefault="00F02DE0">
      <w:pPr>
        <w:pStyle w:val="FirstParagraph"/>
      </w:pPr>
      <w:r>
        <w:t>For SECOM v2.0 services only:</w:t>
      </w:r>
    </w:p>
    <w:p w14:paraId="4A7937A3" w14:textId="77777777" w:rsidR="00753DEE" w:rsidRDefault="00F02DE0">
      <w:pPr>
        <w:pStyle w:val="Compact"/>
        <w:numPr>
          <w:ilvl w:val="0"/>
          <w:numId w:val="73"/>
        </w:numPr>
      </w:pPr>
      <w:proofErr w:type="spellStart"/>
      <w:r>
        <w:rPr>
          <w:b/>
          <w:bCs/>
          <w:i/>
          <w:iCs/>
        </w:rPr>
        <w:t>callbackEndpoint</w:t>
      </w:r>
      <w:proofErr w:type="spellEnd"/>
      <w:r>
        <w:t xml:space="preserve"> - The endpoint of the consumer’s SECOM v2.0 service that accepts the interface calls. The endpoint must be defined in a way that appending the SECOM standard REST endpoints (e.g. /v2/subscription) produces a valid URL. If the </w:t>
      </w:r>
      <w:proofErr w:type="spellStart"/>
      <w:r>
        <w:t>callbackEndpoint</w:t>
      </w:r>
      <w:proofErr w:type="spellEnd"/>
      <w:r>
        <w:t xml:space="preserve"> is not a part of the subscription, the service must search for the vessel’s SECOM service from a service registry.</w:t>
      </w:r>
    </w:p>
    <w:p w14:paraId="27583CE3" w14:textId="77777777" w:rsidR="00753DEE" w:rsidRDefault="00F02DE0">
      <w:pPr>
        <w:pStyle w:val="Heading3"/>
      </w:pPr>
      <w:bookmarkStart w:id="49" w:name="_Toc225155474"/>
      <w:bookmarkStart w:id="50" w:name="Xa814fb9fa324586edc9bb593c6408f977374b4e"/>
      <w:bookmarkEnd w:id="44"/>
      <w:r>
        <w:t>Error codes</w:t>
      </w:r>
      <w:bookmarkEnd w:id="49"/>
    </w:p>
    <w:p w14:paraId="7F24A4AE" w14:textId="77777777" w:rsidR="00753DEE" w:rsidRDefault="00F02DE0">
      <w:pPr>
        <w:pStyle w:val="FirstParagraph"/>
      </w:pPr>
      <w:r>
        <w:t xml:space="preserve">If incoming route does not pass business rule validation, the </w:t>
      </w:r>
      <w:proofErr w:type="spellStart"/>
      <w:r>
        <w:t>SECOM_ResponseCode</w:t>
      </w:r>
      <w:proofErr w:type="spellEnd"/>
      <w:r>
        <w:t xml:space="preserve"> must be 0.</w:t>
      </w:r>
    </w:p>
    <w:p w14:paraId="3BCEADB5" w14:textId="77777777" w:rsidR="00753DEE" w:rsidRDefault="00F02DE0">
      <w:pPr>
        <w:pStyle w:val="BodyText"/>
      </w:pPr>
      <w:r>
        <w:t xml:space="preserve">If the signature verification fails, the </w:t>
      </w:r>
      <w:proofErr w:type="spellStart"/>
      <w:r>
        <w:t>SECOM_ResponseCode</w:t>
      </w:r>
      <w:proofErr w:type="spellEnd"/>
      <w:r>
        <w:t xml:space="preserve"> must be 1.</w:t>
      </w:r>
    </w:p>
    <w:p w14:paraId="02EAD465" w14:textId="77777777" w:rsidR="00753DEE" w:rsidRDefault="00F02DE0">
      <w:pPr>
        <w:pStyle w:val="BodyText"/>
      </w:pPr>
      <w:r>
        <w:t xml:space="preserve">If certificate provided is invalid, the </w:t>
      </w:r>
      <w:proofErr w:type="spellStart"/>
      <w:r>
        <w:t>SECOM_ResponseCode</w:t>
      </w:r>
      <w:proofErr w:type="spellEnd"/>
      <w:r>
        <w:t xml:space="preserve"> must be 2.</w:t>
      </w:r>
    </w:p>
    <w:p w14:paraId="05E2DFCA" w14:textId="77777777" w:rsidR="00753DEE" w:rsidRDefault="00F02DE0">
      <w:pPr>
        <w:pStyle w:val="BodyText"/>
      </w:pPr>
      <w:r>
        <w:t xml:space="preserve">If incoming route does not pass schema validation, the </w:t>
      </w:r>
      <w:proofErr w:type="spellStart"/>
      <w:r>
        <w:t>SECOM_ResponseCode</w:t>
      </w:r>
      <w:proofErr w:type="spellEnd"/>
      <w:r>
        <w:t xml:space="preserve"> must be 3.</w:t>
      </w:r>
    </w:p>
    <w:p w14:paraId="6BB00B98" w14:textId="77777777" w:rsidR="00753DEE" w:rsidRDefault="00F02DE0">
      <w:pPr>
        <w:pStyle w:val="BodyText"/>
      </w:pPr>
      <w:r>
        <w:t xml:space="preserve">In </w:t>
      </w:r>
      <w:proofErr w:type="gramStart"/>
      <w:r>
        <w:t>all of</w:t>
      </w:r>
      <w:proofErr w:type="gramEnd"/>
      <w:r>
        <w:t xml:space="preserve"> these cases, the response returned to the client must have the HTTP status 400.</w:t>
      </w:r>
    </w:p>
    <w:p w14:paraId="5BB9B46D" w14:textId="77777777" w:rsidR="00753DEE" w:rsidRDefault="00F02DE0">
      <w:pPr>
        <w:pStyle w:val="Heading2"/>
      </w:pPr>
      <w:bookmarkStart w:id="51" w:name="_Toc225155475"/>
      <w:bookmarkStart w:id="52" w:name="X84f17af87efd7d2c298ff78bf982867e7a5657b"/>
      <w:bookmarkEnd w:id="46"/>
      <w:bookmarkEnd w:id="48"/>
      <w:r>
        <w:t>Applicable SECOM Interfaces</w:t>
      </w:r>
      <w:bookmarkEnd w:id="51"/>
    </w:p>
    <w:p w14:paraId="7E4BB201" w14:textId="77777777" w:rsidR="00753DEE" w:rsidRDefault="00F02DE0">
      <w:pPr>
        <w:pStyle w:val="FirstParagraph"/>
      </w:pPr>
      <w:r>
        <w:t>All interface descriptions below only have the information necessary for the business logic of this service. All definitions and descriptions that are directly derived from the SECOM standard are left to be read from the SECOM standard and the API documentation template in the Annex of Section 11.</w:t>
      </w:r>
    </w:p>
    <w:p w14:paraId="38F8CC98" w14:textId="77777777" w:rsidR="00753DEE" w:rsidRDefault="00F02DE0">
      <w:pPr>
        <w:pStyle w:val="BodyText"/>
      </w:pPr>
      <w:r>
        <w:t>All SECOM communication is done via REST APIs with JSON as the data format for the SECOM data and XML for the S-125 data.</w:t>
      </w:r>
    </w:p>
    <w:p w14:paraId="3BCDC35A" w14:textId="77777777" w:rsidR="00753DEE" w:rsidRDefault="00F02DE0">
      <w:pPr>
        <w:pStyle w:val="BodyText"/>
      </w:pPr>
      <w:r>
        <w:t>For all operations only those parameters that have predefined values or their usage needs to be explained are described below. Otherwise refer to SECOM [2].</w:t>
      </w:r>
    </w:p>
    <w:p w14:paraId="5FCC2F42" w14:textId="77777777" w:rsidR="00753DEE" w:rsidRDefault="00F02DE0">
      <w:pPr>
        <w:pStyle w:val="BodyText"/>
      </w:pPr>
      <w:r>
        <w:lastRenderedPageBreak/>
        <w:t xml:space="preserve">The </w:t>
      </w:r>
      <w:r>
        <w:rPr>
          <w:b/>
          <w:bCs/>
          <w:i/>
          <w:iCs/>
        </w:rPr>
        <w:t>Capability</w:t>
      </w:r>
      <w:r>
        <w:t xml:space="preserve">, </w:t>
      </w:r>
      <w:r>
        <w:rPr>
          <w:b/>
          <w:bCs/>
          <w:i/>
          <w:iCs/>
        </w:rPr>
        <w:t>Ping</w:t>
      </w:r>
      <w:r>
        <w:t xml:space="preserve">, </w:t>
      </w:r>
      <w:proofErr w:type="spellStart"/>
      <w:r>
        <w:rPr>
          <w:b/>
          <w:bCs/>
          <w:i/>
          <w:iCs/>
        </w:rPr>
        <w:t>EncryptionKey</w:t>
      </w:r>
      <w:proofErr w:type="spellEnd"/>
      <w:r>
        <w:t xml:space="preserve"> and </w:t>
      </w:r>
      <w:proofErr w:type="spellStart"/>
      <w:r>
        <w:rPr>
          <w:b/>
          <w:bCs/>
          <w:i/>
          <w:iCs/>
        </w:rPr>
        <w:t>PublicKey</w:t>
      </w:r>
      <w:proofErr w:type="spellEnd"/>
      <w:r>
        <w:t xml:space="preserve"> interfaces are not discussed in this design as they follow the requirements defined in SECOM and further elaboration is necessary.</w:t>
      </w:r>
    </w:p>
    <w:p w14:paraId="373DCF78" w14:textId="77777777" w:rsidR="00753DEE" w:rsidRDefault="00F02DE0">
      <w:pPr>
        <w:pStyle w:val="BodyText"/>
      </w:pPr>
      <w:r>
        <w:t>As per the SECOM standard, the provider must sign the data response using a valid certificate generated by the employed SECOM PKI. The signature, the public certificate, the root certificate and any intermediate certificates of the PKI, must all be present in the response.</w:t>
      </w:r>
    </w:p>
    <w:p w14:paraId="594CF5ED" w14:textId="77777777" w:rsidR="00753DEE" w:rsidRDefault="00F02DE0">
      <w:pPr>
        <w:pStyle w:val="Heading3"/>
      </w:pPr>
      <w:bookmarkStart w:id="53" w:name="_Toc225155476"/>
      <w:bookmarkStart w:id="54" w:name="sec:interface_behaviour_operation_get"/>
      <w:r>
        <w:t>Operation Get</w:t>
      </w:r>
      <w:bookmarkEnd w:id="53"/>
    </w:p>
    <w:p w14:paraId="78835BF0" w14:textId="77777777" w:rsidR="00753DEE" w:rsidRDefault="00F02DE0">
      <w:pPr>
        <w:pStyle w:val="FirstParagraph"/>
      </w:pPr>
      <w:r>
        <w:t xml:space="preserve">The </w:t>
      </w:r>
      <w:r>
        <w:rPr>
          <w:i/>
          <w:iCs/>
        </w:rPr>
        <w:t>Get</w:t>
      </w:r>
      <w:r>
        <w:t xml:space="preserve"> operation is used by data consumers for retrieving </w:t>
      </w:r>
      <w:proofErr w:type="spellStart"/>
      <w:r>
        <w:t>AtoN</w:t>
      </w:r>
      <w:proofErr w:type="spellEnd"/>
      <w:r>
        <w:t xml:space="preserve"> information directly from a data provider, i.e. S-125 datasets that are applicable for a specified geographical area. The consumer can filter the requested S-125 dataset results through parameters like the dataset identifier, validity period and/or geometry etc.</w:t>
      </w:r>
    </w:p>
    <w:p w14:paraId="626AF408" w14:textId="77777777" w:rsidR="00753DEE" w:rsidRDefault="00F02DE0">
      <w:pPr>
        <w:pStyle w:val="BodyText"/>
      </w:pPr>
      <w:r>
        <w:t>The Get operation interface must be implemented only by the data provider.</w:t>
      </w:r>
    </w:p>
    <w:p w14:paraId="3C20BBD6" w14:textId="77777777" w:rsidR="00753DEE" w:rsidRDefault="00F02DE0">
      <w:pPr>
        <w:pStyle w:val="BodyText"/>
      </w:pPr>
      <w:r>
        <w:t>Use of the interface is according to the SECOM specification.</w:t>
      </w:r>
    </w:p>
    <w:p w14:paraId="4ED2CDEB" w14:textId="77777777" w:rsidR="00753DEE" w:rsidRDefault="00F02DE0">
      <w:pPr>
        <w:pStyle w:val="Compact"/>
        <w:numPr>
          <w:ilvl w:val="0"/>
          <w:numId w:val="74"/>
        </w:numPr>
      </w:pPr>
      <w:r>
        <w:t>Name: Get Interface</w:t>
      </w:r>
    </w:p>
    <w:p w14:paraId="08328DA9" w14:textId="77777777" w:rsidR="00753DEE" w:rsidRDefault="00F02DE0">
      <w:pPr>
        <w:pStyle w:val="Compact"/>
        <w:numPr>
          <w:ilvl w:val="0"/>
          <w:numId w:val="74"/>
        </w:numPr>
      </w:pPr>
      <w:r>
        <w:t>Sub-path: /v2/object</w:t>
      </w:r>
    </w:p>
    <w:p w14:paraId="16714558" w14:textId="77777777" w:rsidR="00753DEE" w:rsidRDefault="00F02DE0">
      <w:pPr>
        <w:pStyle w:val="Compact"/>
        <w:numPr>
          <w:ilvl w:val="0"/>
          <w:numId w:val="74"/>
        </w:numPr>
      </w:pPr>
      <w:r>
        <w:t>HTTP-Method: GET</w:t>
      </w:r>
    </w:p>
    <w:p w14:paraId="127DF63F" w14:textId="77777777" w:rsidR="00753DEE" w:rsidRDefault="00F02DE0">
      <w:pPr>
        <w:pStyle w:val="Compact"/>
        <w:numPr>
          <w:ilvl w:val="0"/>
          <w:numId w:val="74"/>
        </w:numPr>
      </w:pPr>
      <w:r>
        <w:t>Cookies: Session-Cookies (optional)</w:t>
      </w:r>
    </w:p>
    <w:p w14:paraId="055C87FC" w14:textId="77777777" w:rsidR="00753DEE" w:rsidRDefault="00F02DE0">
      <w:pPr>
        <w:pStyle w:val="Compact"/>
        <w:numPr>
          <w:ilvl w:val="0"/>
          <w:numId w:val="74"/>
        </w:numPr>
      </w:pPr>
      <w:r>
        <w:t>Content-Type: application/</w:t>
      </w:r>
      <w:proofErr w:type="spellStart"/>
      <w:r>
        <w:t>json</w:t>
      </w:r>
      <w:proofErr w:type="spellEnd"/>
    </w:p>
    <w:p w14:paraId="49D991C2" w14:textId="77777777" w:rsidR="00753DEE" w:rsidRDefault="00F02DE0">
      <w:pPr>
        <w:pStyle w:val="Heading4"/>
      </w:pPr>
      <w:bookmarkStart w:id="55" w:name="Xc98eb625a6afe1da370f78e4c04f2e5c345829f"/>
      <w:r>
        <w:t>Operation Functionality</w:t>
      </w:r>
    </w:p>
    <w:p w14:paraId="3AB996B2" w14:textId="77777777" w:rsidR="00753DEE" w:rsidRDefault="00F02DE0">
      <w:pPr>
        <w:pStyle w:val="FirstParagraph"/>
      </w:pPr>
      <w:r>
        <w:t>All instances of this service design must provide access to all S-125 datasets made available for their advertised coverage area. Each individual S-125 dataset should have a fixed, globally unique, MRN identifier associated with it. In addition, each update on any of the datasets must be identified using a different, locally unique, UUID.</w:t>
      </w:r>
    </w:p>
    <w:p w14:paraId="7CD6EE9F" w14:textId="77777777" w:rsidR="00753DEE" w:rsidRDefault="00F02DE0">
      <w:pPr>
        <w:pStyle w:val="BodyText"/>
      </w:pPr>
      <w:r>
        <w:t>The operation supports multiple filter parameters, presented in more detail in Table 2. To ensure the authenticity of the operation request, the filter parameters are included within a signed SECOM envelope structure. Data provider instances are required to support all referenced filter parameters.</w:t>
      </w:r>
    </w:p>
    <w:p w14:paraId="5C8D404C" w14:textId="77777777" w:rsidR="00753DEE" w:rsidRDefault="00F02DE0">
      <w:pPr>
        <w:pStyle w:val="BodyText"/>
      </w:pPr>
      <w:r>
        <w:t xml:space="preserve">If multiple filter parameters are provided, only results that match all requested filters, combined with logical AND, must be returned. If no parameters are given, the response is either an empty list or all available datasets for which has been given access to by the data provider. A data provider must offer the appropriate encoding of </w:t>
      </w:r>
      <w:proofErr w:type="spellStart"/>
      <w:r>
        <w:t>AtoN</w:t>
      </w:r>
      <w:proofErr w:type="spellEnd"/>
      <w:r>
        <w:t xml:space="preserve"> information in accordance with the S-125 standard.</w:t>
      </w:r>
    </w:p>
    <w:p w14:paraId="31E88B3D" w14:textId="77777777" w:rsidR="00753DEE" w:rsidRDefault="00F02DE0">
      <w:pPr>
        <w:pStyle w:val="BodyText"/>
      </w:pPr>
      <w:r>
        <w:t xml:space="preserve">Depending on the combination of the </w:t>
      </w:r>
      <w:proofErr w:type="spellStart"/>
      <w:r>
        <w:rPr>
          <w:b/>
          <w:bCs/>
        </w:rPr>
        <w:t>containterType</w:t>
      </w:r>
      <w:proofErr w:type="spellEnd"/>
      <w:r>
        <w:t xml:space="preserve"> and </w:t>
      </w:r>
      <w:proofErr w:type="spellStart"/>
      <w:r>
        <w:rPr>
          <w:b/>
          <w:bCs/>
        </w:rPr>
        <w:t>validFrom</w:t>
      </w:r>
      <w:proofErr w:type="spellEnd"/>
      <w:r>
        <w:t>/</w:t>
      </w:r>
      <w:proofErr w:type="spellStart"/>
      <w:r>
        <w:rPr>
          <w:b/>
          <w:bCs/>
        </w:rPr>
        <w:t>validTo</w:t>
      </w:r>
      <w:proofErr w:type="spellEnd"/>
      <w:r>
        <w:t xml:space="preserve"> input parameter values, the service must respond differently:</w:t>
      </w:r>
    </w:p>
    <w:p w14:paraId="41325EA7" w14:textId="77777777" w:rsidR="00753DEE" w:rsidRDefault="00F02DE0">
      <w:pPr>
        <w:pStyle w:val="Compact"/>
        <w:numPr>
          <w:ilvl w:val="0"/>
          <w:numId w:val="75"/>
        </w:numPr>
      </w:pPr>
      <w:r>
        <w:t xml:space="preserve">For the </w:t>
      </w:r>
      <w:proofErr w:type="spellStart"/>
      <w:r>
        <w:rPr>
          <w:b/>
          <w:bCs/>
        </w:rPr>
        <w:t>containterType</w:t>
      </w:r>
      <w:proofErr w:type="spellEnd"/>
      <w:r>
        <w:t xml:space="preserve"> set to </w:t>
      </w:r>
      <w:r>
        <w:rPr>
          <w:b/>
          <w:bCs/>
        </w:rPr>
        <w:t>0</w:t>
      </w:r>
      <w:r>
        <w:t xml:space="preserve"> (S-100 Dataset): the service must respond with the matching S-125 datasets containing all the latest information on the </w:t>
      </w:r>
      <w:proofErr w:type="spellStart"/>
      <w:r>
        <w:t>AtoNs</w:t>
      </w:r>
      <w:proofErr w:type="spellEnd"/>
      <w:r>
        <w:t xml:space="preserve"> included in them. The </w:t>
      </w:r>
      <w:proofErr w:type="spellStart"/>
      <w:r>
        <w:rPr>
          <w:b/>
          <w:bCs/>
        </w:rPr>
        <w:t>validFrom</w:t>
      </w:r>
      <w:proofErr w:type="spellEnd"/>
      <w:r>
        <w:t>/</w:t>
      </w:r>
      <w:proofErr w:type="spellStart"/>
      <w:proofErr w:type="gramStart"/>
      <w:r>
        <w:rPr>
          <w:b/>
          <w:bCs/>
        </w:rPr>
        <w:t>validTo</w:t>
      </w:r>
      <w:proofErr w:type="spellEnd"/>
      <w:r>
        <w:t xml:space="preserve"> should</w:t>
      </w:r>
      <w:proofErr w:type="gramEnd"/>
      <w:r>
        <w:t xml:space="preserve"> not be </w:t>
      </w:r>
      <w:proofErr w:type="gramStart"/>
      <w:r>
        <w:t>taken into account</w:t>
      </w:r>
      <w:proofErr w:type="gramEnd"/>
      <w:r>
        <w:t xml:space="preserve">, as the data provider must never return out-of-date information. </w:t>
      </w:r>
      <w:proofErr w:type="gramStart"/>
      <w:r>
        <w:t>If</w:t>
      </w:r>
      <w:proofErr w:type="gramEnd"/>
      <w:r>
        <w:t xml:space="preserve"> however, the specified </w:t>
      </w:r>
      <w:proofErr w:type="spellStart"/>
      <w:r>
        <w:rPr>
          <w:b/>
          <w:bCs/>
        </w:rPr>
        <w:t>dataReference</w:t>
      </w:r>
      <w:proofErr w:type="spellEnd"/>
      <w:r>
        <w:t xml:space="preserve"> UUIDs represent the past state of a valid S-125 dataset (with the same MRN), </w:t>
      </w:r>
      <w:r>
        <w:rPr>
          <w:i/>
          <w:iCs/>
        </w:rPr>
        <w:t>which has not been cancelled yet</w:t>
      </w:r>
      <w:r>
        <w:t xml:space="preserve">, then the data provider must return that exact dataset, once again disregarding the </w:t>
      </w:r>
      <w:proofErr w:type="spellStart"/>
      <w:r>
        <w:rPr>
          <w:b/>
          <w:bCs/>
        </w:rPr>
        <w:t>validFrom</w:t>
      </w:r>
      <w:proofErr w:type="spellEnd"/>
      <w:r>
        <w:t>/</w:t>
      </w:r>
      <w:proofErr w:type="spellStart"/>
      <w:r>
        <w:rPr>
          <w:b/>
          <w:bCs/>
        </w:rPr>
        <w:t>validTo</w:t>
      </w:r>
      <w:proofErr w:type="spellEnd"/>
      <w:r>
        <w:t xml:space="preserve"> parameters. </w:t>
      </w:r>
      <w:r>
        <w:rPr>
          <w:i/>
          <w:iCs/>
        </w:rPr>
        <w:t xml:space="preserve">The service must never return S-125 </w:t>
      </w:r>
      <w:r>
        <w:rPr>
          <w:b/>
          <w:bCs/>
          <w:i/>
          <w:iCs/>
        </w:rPr>
        <w:t>delta</w:t>
      </w:r>
      <w:r>
        <w:rPr>
          <w:i/>
          <w:iCs/>
        </w:rPr>
        <w:t xml:space="preserve"> files if the </w:t>
      </w:r>
      <w:proofErr w:type="spellStart"/>
      <w:r>
        <w:rPr>
          <w:i/>
          <w:iCs/>
        </w:rPr>
        <w:t>containterType</w:t>
      </w:r>
      <w:proofErr w:type="spellEnd"/>
      <w:r>
        <w:rPr>
          <w:i/>
          <w:iCs/>
        </w:rPr>
        <w:t xml:space="preserve"> value is set to 0</w:t>
      </w:r>
      <w:r>
        <w:t>.</w:t>
      </w:r>
    </w:p>
    <w:p w14:paraId="44660F0D" w14:textId="77777777" w:rsidR="00753DEE" w:rsidRDefault="00F02DE0">
      <w:pPr>
        <w:pStyle w:val="Compact"/>
        <w:numPr>
          <w:ilvl w:val="0"/>
          <w:numId w:val="75"/>
        </w:numPr>
      </w:pPr>
      <w:r>
        <w:t xml:space="preserve">For the </w:t>
      </w:r>
      <w:proofErr w:type="spellStart"/>
      <w:r>
        <w:rPr>
          <w:b/>
          <w:bCs/>
        </w:rPr>
        <w:t>containterType</w:t>
      </w:r>
      <w:proofErr w:type="spellEnd"/>
      <w:r>
        <w:t xml:space="preserve"> set to </w:t>
      </w:r>
      <w:r>
        <w:rPr>
          <w:b/>
          <w:bCs/>
        </w:rPr>
        <w:t>1</w:t>
      </w:r>
      <w:r>
        <w:t xml:space="preserve"> (S-100 Exchange-Set): the service must return the dataset using the S-100 Exchange-Set structure. That involves the original content of the S-125 dataset (update 0), along with any incremental updates (for the same dataset MRN) in the form of S-100 </w:t>
      </w:r>
      <w:r>
        <w:rPr>
          <w:b/>
          <w:bCs/>
          <w:i/>
          <w:iCs/>
        </w:rPr>
        <w:t>delta</w:t>
      </w:r>
      <w:r>
        <w:t xml:space="preserve"> files. If the </w:t>
      </w:r>
      <w:proofErr w:type="spellStart"/>
      <w:r>
        <w:rPr>
          <w:b/>
          <w:bCs/>
        </w:rPr>
        <w:t>validFrom</w:t>
      </w:r>
      <w:proofErr w:type="spellEnd"/>
      <w:r>
        <w:t>/</w:t>
      </w:r>
      <w:proofErr w:type="spellStart"/>
      <w:r>
        <w:rPr>
          <w:b/>
          <w:bCs/>
        </w:rPr>
        <w:t>validTo</w:t>
      </w:r>
      <w:proofErr w:type="spellEnd"/>
      <w:r>
        <w:t xml:space="preserve"> parameters are </w:t>
      </w:r>
      <w:proofErr w:type="spellStart"/>
      <w:r>
        <w:t>utilised</w:t>
      </w:r>
      <w:proofErr w:type="spellEnd"/>
      <w:r>
        <w:t xml:space="preserve">, any of the original content of the S-125 dataset and delta files should only be included in the Exchange-Set, if they </w:t>
      </w:r>
      <w:proofErr w:type="gramStart"/>
      <w:r>
        <w:t>falls</w:t>
      </w:r>
      <w:proofErr w:type="gramEnd"/>
      <w:r>
        <w:t xml:space="preserve"> within the specified time interval.</w:t>
      </w:r>
    </w:p>
    <w:p w14:paraId="1A5C2C28" w14:textId="77777777" w:rsidR="00753DEE" w:rsidRDefault="00F02DE0">
      <w:pPr>
        <w:pStyle w:val="Heading4"/>
      </w:pPr>
      <w:bookmarkStart w:id="56" w:name="X3d592e52d6695a05b8c93fde5adb686042a4a8e"/>
      <w:bookmarkEnd w:id="50"/>
      <w:r>
        <w:lastRenderedPageBreak/>
        <w:t>Operation Parameters</w:t>
      </w:r>
    </w:p>
    <w:p w14:paraId="5D16CA7A" w14:textId="77777777" w:rsidR="00753DEE" w:rsidRDefault="00F02DE0">
      <w:pPr>
        <w:pStyle w:val="TableCaption"/>
      </w:pPr>
      <w:bookmarkStart w:id="57" w:name="_Toc225155436"/>
      <w:bookmarkStart w:id="58" w:name="tbl:get_operation_parameters"/>
      <w:r>
        <w:t>The Get Operation Parameters.</w:t>
      </w:r>
      <w:bookmarkEnd w:id="57"/>
    </w:p>
    <w:tbl>
      <w:tblPr>
        <w:tblStyle w:val="Table"/>
        <w:tblW w:w="5000" w:type="pct"/>
        <w:tblLayout w:type="fixed"/>
        <w:tblLook w:val="0020" w:firstRow="1" w:lastRow="0" w:firstColumn="0" w:lastColumn="0" w:noHBand="0" w:noVBand="0"/>
        <w:tblCaption w:val="The Get Operation Parameters."/>
      </w:tblPr>
      <w:tblGrid>
        <w:gridCol w:w="2548"/>
        <w:gridCol w:w="2549"/>
        <w:gridCol w:w="2549"/>
        <w:gridCol w:w="2549"/>
      </w:tblGrid>
      <w:tr w:rsidR="00753DEE" w14:paraId="724BD54D"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4E62A341" w14:textId="77777777" w:rsidR="00753DEE" w:rsidRDefault="00F02DE0">
            <w:pPr>
              <w:pStyle w:val="Compact"/>
            </w:pPr>
            <w:r>
              <w:t>Parameters (in)</w:t>
            </w:r>
          </w:p>
        </w:tc>
        <w:tc>
          <w:tcPr>
            <w:tcW w:w="1980" w:type="dxa"/>
          </w:tcPr>
          <w:p w14:paraId="391DD4E6" w14:textId="77777777" w:rsidR="00753DEE" w:rsidRDefault="00F02DE0">
            <w:pPr>
              <w:pStyle w:val="Compact"/>
            </w:pPr>
            <w:r>
              <w:t>Encoding</w:t>
            </w:r>
          </w:p>
        </w:tc>
        <w:tc>
          <w:tcPr>
            <w:tcW w:w="1980" w:type="dxa"/>
          </w:tcPr>
          <w:p w14:paraId="487D3EB1" w14:textId="77777777" w:rsidR="00753DEE" w:rsidRDefault="00F02DE0">
            <w:pPr>
              <w:pStyle w:val="Compact"/>
            </w:pPr>
            <w:r>
              <w:t>Mult.</w:t>
            </w:r>
          </w:p>
        </w:tc>
        <w:tc>
          <w:tcPr>
            <w:tcW w:w="1980" w:type="dxa"/>
          </w:tcPr>
          <w:p w14:paraId="07DADC8E" w14:textId="77777777" w:rsidR="00753DEE" w:rsidRDefault="00F02DE0">
            <w:pPr>
              <w:pStyle w:val="Compact"/>
            </w:pPr>
            <w:r>
              <w:t>Descriptions</w:t>
            </w:r>
          </w:p>
        </w:tc>
      </w:tr>
      <w:tr w:rsidR="00753DEE" w14:paraId="04D0FE33" w14:textId="77777777">
        <w:tc>
          <w:tcPr>
            <w:tcW w:w="1980" w:type="dxa"/>
          </w:tcPr>
          <w:p w14:paraId="6242E122" w14:textId="77777777" w:rsidR="00753DEE" w:rsidRDefault="00F02DE0">
            <w:pPr>
              <w:pStyle w:val="Compact"/>
            </w:pPr>
            <w:proofErr w:type="spellStart"/>
            <w:r>
              <w:t>containerType</w:t>
            </w:r>
            <w:proofErr w:type="spellEnd"/>
          </w:p>
        </w:tc>
        <w:tc>
          <w:tcPr>
            <w:tcW w:w="1980" w:type="dxa"/>
          </w:tcPr>
          <w:p w14:paraId="3AC3C06D" w14:textId="77777777" w:rsidR="00753DEE" w:rsidRDefault="00F02DE0">
            <w:pPr>
              <w:pStyle w:val="Compact"/>
            </w:pPr>
            <w:r>
              <w:t>Integer</w:t>
            </w:r>
          </w:p>
        </w:tc>
        <w:tc>
          <w:tcPr>
            <w:tcW w:w="1980" w:type="dxa"/>
          </w:tcPr>
          <w:p w14:paraId="02B9DEBB" w14:textId="77777777" w:rsidR="00753DEE" w:rsidRDefault="00F02DE0">
            <w:pPr>
              <w:pStyle w:val="Compact"/>
            </w:pPr>
            <w:r>
              <w:t>0..1</w:t>
            </w:r>
          </w:p>
        </w:tc>
        <w:tc>
          <w:tcPr>
            <w:tcW w:w="1980" w:type="dxa"/>
          </w:tcPr>
          <w:p w14:paraId="2FA26A33" w14:textId="77777777" w:rsidR="00753DEE" w:rsidRDefault="00F02DE0">
            <w:pPr>
              <w:pStyle w:val="Compact"/>
            </w:pPr>
            <w:r>
              <w:t>Requested encoding of the data as described in [2]. If not provided, the service provider determines the standard encoding.</w:t>
            </w:r>
          </w:p>
        </w:tc>
      </w:tr>
      <w:tr w:rsidR="00753DEE" w14:paraId="2C4F0606" w14:textId="77777777">
        <w:tc>
          <w:tcPr>
            <w:tcW w:w="1980" w:type="dxa"/>
          </w:tcPr>
          <w:p w14:paraId="60B4A292" w14:textId="77777777" w:rsidR="00753DEE" w:rsidRDefault="00F02DE0">
            <w:pPr>
              <w:pStyle w:val="Compact"/>
            </w:pPr>
            <w:proofErr w:type="spellStart"/>
            <w:r>
              <w:t>dataProductType</w:t>
            </w:r>
            <w:proofErr w:type="spellEnd"/>
          </w:p>
        </w:tc>
        <w:tc>
          <w:tcPr>
            <w:tcW w:w="1980" w:type="dxa"/>
          </w:tcPr>
          <w:p w14:paraId="0CCDB626" w14:textId="77777777" w:rsidR="00753DEE" w:rsidRDefault="00F02DE0">
            <w:pPr>
              <w:pStyle w:val="Compact"/>
            </w:pPr>
            <w:r>
              <w:t>String</w:t>
            </w:r>
          </w:p>
        </w:tc>
        <w:tc>
          <w:tcPr>
            <w:tcW w:w="1980" w:type="dxa"/>
          </w:tcPr>
          <w:p w14:paraId="4AD193FD" w14:textId="77777777" w:rsidR="00753DEE" w:rsidRDefault="00F02DE0">
            <w:pPr>
              <w:pStyle w:val="Compact"/>
            </w:pPr>
            <w:r>
              <w:t>0..1</w:t>
            </w:r>
          </w:p>
        </w:tc>
        <w:tc>
          <w:tcPr>
            <w:tcW w:w="1980" w:type="dxa"/>
          </w:tcPr>
          <w:p w14:paraId="652735FD" w14:textId="77777777" w:rsidR="00753DEE" w:rsidRDefault="00F02DE0">
            <w:pPr>
              <w:pStyle w:val="Compact"/>
            </w:pPr>
            <w:r>
              <w:t>Data product type as described in [2].</w:t>
            </w:r>
          </w:p>
        </w:tc>
      </w:tr>
      <w:tr w:rsidR="00753DEE" w14:paraId="0FD79FF3" w14:textId="77777777">
        <w:tc>
          <w:tcPr>
            <w:tcW w:w="1980" w:type="dxa"/>
          </w:tcPr>
          <w:p w14:paraId="6EA6E939" w14:textId="77777777" w:rsidR="00753DEE" w:rsidRDefault="00F02DE0">
            <w:pPr>
              <w:pStyle w:val="Compact"/>
            </w:pPr>
            <w:proofErr w:type="spellStart"/>
            <w:r>
              <w:t>productVersion</w:t>
            </w:r>
            <w:proofErr w:type="spellEnd"/>
          </w:p>
        </w:tc>
        <w:tc>
          <w:tcPr>
            <w:tcW w:w="1980" w:type="dxa"/>
          </w:tcPr>
          <w:p w14:paraId="144E0FC5" w14:textId="77777777" w:rsidR="00753DEE" w:rsidRDefault="00F02DE0">
            <w:pPr>
              <w:pStyle w:val="Compact"/>
            </w:pPr>
            <w:r>
              <w:t>String</w:t>
            </w:r>
          </w:p>
        </w:tc>
        <w:tc>
          <w:tcPr>
            <w:tcW w:w="1980" w:type="dxa"/>
          </w:tcPr>
          <w:p w14:paraId="11BFA6F3" w14:textId="77777777" w:rsidR="00753DEE" w:rsidRDefault="00F02DE0">
            <w:pPr>
              <w:pStyle w:val="Compact"/>
            </w:pPr>
            <w:r>
              <w:t>0..1</w:t>
            </w:r>
          </w:p>
        </w:tc>
        <w:tc>
          <w:tcPr>
            <w:tcW w:w="1980" w:type="dxa"/>
          </w:tcPr>
          <w:p w14:paraId="00747C77" w14:textId="77777777" w:rsidR="00753DEE" w:rsidRDefault="00F02DE0">
            <w:pPr>
              <w:pStyle w:val="Compact"/>
            </w:pPr>
            <w:r>
              <w:t>S-100 based Product type version, e.g. 1.0.0.</w:t>
            </w:r>
          </w:p>
        </w:tc>
      </w:tr>
      <w:tr w:rsidR="00753DEE" w14:paraId="3E7C0C9C" w14:textId="77777777">
        <w:tc>
          <w:tcPr>
            <w:tcW w:w="1980" w:type="dxa"/>
          </w:tcPr>
          <w:p w14:paraId="5E1FE207" w14:textId="77777777" w:rsidR="00753DEE" w:rsidRDefault="00F02DE0">
            <w:pPr>
              <w:pStyle w:val="Compact"/>
            </w:pPr>
            <w:proofErr w:type="spellStart"/>
            <w:r>
              <w:t>dataReference</w:t>
            </w:r>
            <w:proofErr w:type="spellEnd"/>
          </w:p>
        </w:tc>
        <w:tc>
          <w:tcPr>
            <w:tcW w:w="1980" w:type="dxa"/>
          </w:tcPr>
          <w:p w14:paraId="082F0718" w14:textId="77777777" w:rsidR="00753DEE" w:rsidRDefault="00F02DE0">
            <w:pPr>
              <w:pStyle w:val="Compact"/>
            </w:pPr>
            <w:r>
              <w:t>UUID</w:t>
            </w:r>
          </w:p>
        </w:tc>
        <w:tc>
          <w:tcPr>
            <w:tcW w:w="1980" w:type="dxa"/>
          </w:tcPr>
          <w:p w14:paraId="0F2FC5BD" w14:textId="77777777" w:rsidR="00753DEE" w:rsidRDefault="00F02DE0">
            <w:pPr>
              <w:pStyle w:val="Compact"/>
            </w:pPr>
            <w:r>
              <w:t>0..1</w:t>
            </w:r>
          </w:p>
        </w:tc>
        <w:tc>
          <w:tcPr>
            <w:tcW w:w="1980" w:type="dxa"/>
          </w:tcPr>
          <w:p w14:paraId="36C1A8F8" w14:textId="77777777" w:rsidR="00753DEE" w:rsidRDefault="00F02DE0">
            <w:pPr>
              <w:pStyle w:val="Compact"/>
            </w:pPr>
            <w:r>
              <w:t>Dataset reference identifier to a specific S-125 dataset. The reference can be provided as search criteria. A list of references can be retrieved via Get Summary interface.</w:t>
            </w:r>
          </w:p>
        </w:tc>
      </w:tr>
      <w:tr w:rsidR="00753DEE" w14:paraId="2603BF4C" w14:textId="77777777">
        <w:tc>
          <w:tcPr>
            <w:tcW w:w="1980" w:type="dxa"/>
          </w:tcPr>
          <w:p w14:paraId="37FC8055" w14:textId="77777777" w:rsidR="00753DEE" w:rsidRDefault="00F02DE0">
            <w:pPr>
              <w:pStyle w:val="Compact"/>
            </w:pPr>
            <w:r>
              <w:t>geometry</w:t>
            </w:r>
          </w:p>
        </w:tc>
        <w:tc>
          <w:tcPr>
            <w:tcW w:w="1980" w:type="dxa"/>
          </w:tcPr>
          <w:p w14:paraId="6CD4178A" w14:textId="77777777" w:rsidR="00753DEE" w:rsidRDefault="00F02DE0">
            <w:pPr>
              <w:pStyle w:val="Compact"/>
            </w:pPr>
            <w:r>
              <w:t>String (WKT)</w:t>
            </w:r>
          </w:p>
        </w:tc>
        <w:tc>
          <w:tcPr>
            <w:tcW w:w="1980" w:type="dxa"/>
          </w:tcPr>
          <w:p w14:paraId="1F980118" w14:textId="77777777" w:rsidR="00753DEE" w:rsidRDefault="00F02DE0">
            <w:pPr>
              <w:pStyle w:val="Compact"/>
            </w:pPr>
            <w:r>
              <w:t>0..1</w:t>
            </w:r>
          </w:p>
        </w:tc>
        <w:tc>
          <w:tcPr>
            <w:tcW w:w="1980" w:type="dxa"/>
          </w:tcPr>
          <w:p w14:paraId="256EC837" w14:textId="77777777" w:rsidR="00753DEE" w:rsidRDefault="00F02DE0">
            <w:pPr>
              <w:pStyle w:val="Compact"/>
            </w:pPr>
            <w:r>
              <w:t xml:space="preserve">Geometry condition for geo-located information objects in WKT format. This can be used to </w:t>
            </w:r>
            <w:proofErr w:type="gramStart"/>
            <w:r>
              <w:t>filter on</w:t>
            </w:r>
            <w:proofErr w:type="gramEnd"/>
            <w:r>
              <w:t xml:space="preserve"> geometric shapes (e.g., filter S-125 datasets by a bounding box).</w:t>
            </w:r>
          </w:p>
        </w:tc>
      </w:tr>
      <w:tr w:rsidR="00753DEE" w14:paraId="642FC1DA" w14:textId="77777777">
        <w:tc>
          <w:tcPr>
            <w:tcW w:w="1980" w:type="dxa"/>
          </w:tcPr>
          <w:p w14:paraId="78CE8DDD" w14:textId="77777777" w:rsidR="00753DEE" w:rsidRDefault="00F02DE0">
            <w:pPr>
              <w:pStyle w:val="Compact"/>
            </w:pPr>
            <w:proofErr w:type="spellStart"/>
            <w:r>
              <w:t>unlocode</w:t>
            </w:r>
            <w:proofErr w:type="spellEnd"/>
          </w:p>
        </w:tc>
        <w:tc>
          <w:tcPr>
            <w:tcW w:w="1980" w:type="dxa"/>
          </w:tcPr>
          <w:p w14:paraId="27254D86" w14:textId="77777777" w:rsidR="00753DEE" w:rsidRDefault="00F02DE0">
            <w:pPr>
              <w:pStyle w:val="Compact"/>
            </w:pPr>
            <w:r>
              <w:t>String</w:t>
            </w:r>
          </w:p>
        </w:tc>
        <w:tc>
          <w:tcPr>
            <w:tcW w:w="1980" w:type="dxa"/>
          </w:tcPr>
          <w:p w14:paraId="5D1BD96E" w14:textId="77777777" w:rsidR="00753DEE" w:rsidRDefault="00F02DE0">
            <w:pPr>
              <w:pStyle w:val="Compact"/>
            </w:pPr>
            <w:r>
              <w:t>0..1</w:t>
            </w:r>
          </w:p>
        </w:tc>
        <w:tc>
          <w:tcPr>
            <w:tcW w:w="1980" w:type="dxa"/>
          </w:tcPr>
          <w:p w14:paraId="1071434E" w14:textId="77777777" w:rsidR="00753DEE" w:rsidRDefault="00F02DE0">
            <w:pPr>
              <w:pStyle w:val="Compact"/>
            </w:pPr>
            <w:r>
              <w:t>UN/LOCODE (United Nations Code for Trade and Transport Locations) of a defined object (e.g., “CN” for China).</w:t>
            </w:r>
          </w:p>
        </w:tc>
      </w:tr>
      <w:tr w:rsidR="00753DEE" w14:paraId="09A938C7" w14:textId="77777777">
        <w:tc>
          <w:tcPr>
            <w:tcW w:w="1980" w:type="dxa"/>
          </w:tcPr>
          <w:p w14:paraId="172CC315" w14:textId="77777777" w:rsidR="00753DEE" w:rsidRDefault="00F02DE0">
            <w:pPr>
              <w:pStyle w:val="Compact"/>
            </w:pPr>
            <w:proofErr w:type="spellStart"/>
            <w:r>
              <w:t>validFrom</w:t>
            </w:r>
            <w:proofErr w:type="spellEnd"/>
          </w:p>
        </w:tc>
        <w:tc>
          <w:tcPr>
            <w:tcW w:w="1980" w:type="dxa"/>
          </w:tcPr>
          <w:p w14:paraId="2B44ABE9" w14:textId="77777777" w:rsidR="00753DEE" w:rsidRDefault="00F02DE0">
            <w:pPr>
              <w:pStyle w:val="Compact"/>
            </w:pPr>
            <w:proofErr w:type="spellStart"/>
            <w:r>
              <w:t>DateTime</w:t>
            </w:r>
            <w:proofErr w:type="spellEnd"/>
          </w:p>
        </w:tc>
        <w:tc>
          <w:tcPr>
            <w:tcW w:w="1980" w:type="dxa"/>
          </w:tcPr>
          <w:p w14:paraId="0483D4BA" w14:textId="77777777" w:rsidR="00753DEE" w:rsidRDefault="00F02DE0">
            <w:pPr>
              <w:pStyle w:val="Compact"/>
            </w:pPr>
            <w:r>
              <w:t>0..1</w:t>
            </w:r>
          </w:p>
        </w:tc>
        <w:tc>
          <w:tcPr>
            <w:tcW w:w="1980" w:type="dxa"/>
          </w:tcPr>
          <w:p w14:paraId="50849732" w14:textId="77777777" w:rsidR="00753DEE" w:rsidRDefault="00F02DE0">
            <w:pPr>
              <w:pStyle w:val="Compact"/>
            </w:pPr>
            <w:r>
              <w:t xml:space="preserve">Describes the start of the validity time for the requested data in ISO 8601 UTC formatted as </w:t>
            </w:r>
            <w:proofErr w:type="spellStart"/>
            <w:r>
              <w:t>yyyy</w:t>
            </w:r>
            <w:proofErr w:type="spellEnd"/>
            <w:r>
              <w:t xml:space="preserve">-mm-dd </w:t>
            </w:r>
            <w:proofErr w:type="spellStart"/>
            <w:r>
              <w:t>hh:</w:t>
            </w:r>
            <w:proofErr w:type="gramStart"/>
            <w:r>
              <w:t>mm:ssZ</w:t>
            </w:r>
            <w:proofErr w:type="spellEnd"/>
            <w:proofErr w:type="gramEnd"/>
            <w:r>
              <w:t>.</w:t>
            </w:r>
          </w:p>
        </w:tc>
      </w:tr>
      <w:tr w:rsidR="00753DEE" w14:paraId="42E508BA" w14:textId="77777777">
        <w:tc>
          <w:tcPr>
            <w:tcW w:w="1980" w:type="dxa"/>
          </w:tcPr>
          <w:p w14:paraId="3BF3D514" w14:textId="77777777" w:rsidR="00753DEE" w:rsidRDefault="00F02DE0">
            <w:pPr>
              <w:pStyle w:val="Compact"/>
            </w:pPr>
            <w:proofErr w:type="spellStart"/>
            <w:r>
              <w:t>validTo</w:t>
            </w:r>
            <w:proofErr w:type="spellEnd"/>
          </w:p>
        </w:tc>
        <w:tc>
          <w:tcPr>
            <w:tcW w:w="1980" w:type="dxa"/>
          </w:tcPr>
          <w:p w14:paraId="14422F3E" w14:textId="77777777" w:rsidR="00753DEE" w:rsidRDefault="00F02DE0">
            <w:pPr>
              <w:pStyle w:val="Compact"/>
            </w:pPr>
            <w:proofErr w:type="spellStart"/>
            <w:r>
              <w:t>DateTime</w:t>
            </w:r>
            <w:proofErr w:type="spellEnd"/>
          </w:p>
        </w:tc>
        <w:tc>
          <w:tcPr>
            <w:tcW w:w="1980" w:type="dxa"/>
          </w:tcPr>
          <w:p w14:paraId="4A1B223B" w14:textId="77777777" w:rsidR="00753DEE" w:rsidRDefault="00F02DE0">
            <w:pPr>
              <w:pStyle w:val="Compact"/>
            </w:pPr>
            <w:r>
              <w:t>0..1</w:t>
            </w:r>
          </w:p>
        </w:tc>
        <w:tc>
          <w:tcPr>
            <w:tcW w:w="1980" w:type="dxa"/>
          </w:tcPr>
          <w:p w14:paraId="0DFD20EE" w14:textId="77777777" w:rsidR="00753DEE" w:rsidRDefault="00F02DE0">
            <w:pPr>
              <w:pStyle w:val="Compact"/>
            </w:pPr>
            <w:r>
              <w:t xml:space="preserve">Describes the end of the validity time for the requested data in ISO 8601 UTC formatted as </w:t>
            </w:r>
            <w:proofErr w:type="spellStart"/>
            <w:r>
              <w:t>yyyy</w:t>
            </w:r>
            <w:proofErr w:type="spellEnd"/>
            <w:r>
              <w:t xml:space="preserve">-mm-dd </w:t>
            </w:r>
            <w:proofErr w:type="spellStart"/>
            <w:r>
              <w:t>hh:</w:t>
            </w:r>
            <w:proofErr w:type="gramStart"/>
            <w:r>
              <w:t>mm:ssZ</w:t>
            </w:r>
            <w:proofErr w:type="spellEnd"/>
            <w:proofErr w:type="gramEnd"/>
            <w:r>
              <w:t>.</w:t>
            </w:r>
          </w:p>
        </w:tc>
      </w:tr>
      <w:tr w:rsidR="00753DEE" w14:paraId="387CEECC" w14:textId="77777777">
        <w:tc>
          <w:tcPr>
            <w:tcW w:w="1980" w:type="dxa"/>
          </w:tcPr>
          <w:p w14:paraId="678C9F3C" w14:textId="77777777" w:rsidR="00753DEE" w:rsidRDefault="00F02DE0">
            <w:pPr>
              <w:pStyle w:val="Compact"/>
            </w:pPr>
            <w:r>
              <w:t>page</w:t>
            </w:r>
          </w:p>
        </w:tc>
        <w:tc>
          <w:tcPr>
            <w:tcW w:w="1980" w:type="dxa"/>
          </w:tcPr>
          <w:p w14:paraId="18C5AE92" w14:textId="77777777" w:rsidR="00753DEE" w:rsidRDefault="00F02DE0">
            <w:pPr>
              <w:pStyle w:val="Compact"/>
            </w:pPr>
            <w:r>
              <w:t>Integer</w:t>
            </w:r>
          </w:p>
        </w:tc>
        <w:tc>
          <w:tcPr>
            <w:tcW w:w="1980" w:type="dxa"/>
          </w:tcPr>
          <w:p w14:paraId="72C6CE7C" w14:textId="77777777" w:rsidR="00753DEE" w:rsidRDefault="00F02DE0">
            <w:pPr>
              <w:pStyle w:val="Compact"/>
            </w:pPr>
            <w:r>
              <w:t>0..1</w:t>
            </w:r>
          </w:p>
        </w:tc>
        <w:tc>
          <w:tcPr>
            <w:tcW w:w="1980" w:type="dxa"/>
          </w:tcPr>
          <w:p w14:paraId="4FEC54C5" w14:textId="77777777" w:rsidR="00753DEE" w:rsidRDefault="00F02DE0">
            <w:pPr>
              <w:pStyle w:val="Compact"/>
            </w:pPr>
            <w:r>
              <w:t>The number of the page for retrieving paged results. If not provided, the default value of this parameter is set to zero (0).</w:t>
            </w:r>
          </w:p>
        </w:tc>
      </w:tr>
      <w:tr w:rsidR="00753DEE" w14:paraId="55629610" w14:textId="77777777">
        <w:tc>
          <w:tcPr>
            <w:tcW w:w="1980" w:type="dxa"/>
          </w:tcPr>
          <w:p w14:paraId="2BE1CACC" w14:textId="77777777" w:rsidR="00753DEE" w:rsidRDefault="00F02DE0">
            <w:pPr>
              <w:pStyle w:val="Compact"/>
            </w:pPr>
            <w:proofErr w:type="spellStart"/>
            <w:r>
              <w:t>pageSize</w:t>
            </w:r>
            <w:proofErr w:type="spellEnd"/>
          </w:p>
        </w:tc>
        <w:tc>
          <w:tcPr>
            <w:tcW w:w="1980" w:type="dxa"/>
          </w:tcPr>
          <w:p w14:paraId="102DC0EA" w14:textId="77777777" w:rsidR="00753DEE" w:rsidRDefault="00F02DE0">
            <w:pPr>
              <w:pStyle w:val="Compact"/>
            </w:pPr>
            <w:r>
              <w:t>Integer</w:t>
            </w:r>
          </w:p>
        </w:tc>
        <w:tc>
          <w:tcPr>
            <w:tcW w:w="1980" w:type="dxa"/>
          </w:tcPr>
          <w:p w14:paraId="464E8B74" w14:textId="77777777" w:rsidR="00753DEE" w:rsidRDefault="00F02DE0">
            <w:pPr>
              <w:pStyle w:val="Compact"/>
            </w:pPr>
            <w:r>
              <w:t>0..1</w:t>
            </w:r>
          </w:p>
        </w:tc>
        <w:tc>
          <w:tcPr>
            <w:tcW w:w="1980" w:type="dxa"/>
          </w:tcPr>
          <w:p w14:paraId="4E48AEB1" w14:textId="77777777" w:rsidR="00753DEE" w:rsidRDefault="00F02DE0">
            <w:pPr>
              <w:pStyle w:val="Compact"/>
            </w:pPr>
            <w:r>
              <w:t xml:space="preserve">The size of each page in a paged result. If not provided, the default value of this parameter is not </w:t>
            </w:r>
            <w:proofErr w:type="gramStart"/>
            <w:r>
              <w:t>set</w:t>
            </w:r>
            <w:proofErr w:type="gramEnd"/>
            <w:r>
              <w:t xml:space="preserve"> </w:t>
            </w:r>
            <w:r>
              <w:lastRenderedPageBreak/>
              <w:t>and the resulting S-125 datasets are not paged.</w:t>
            </w:r>
          </w:p>
        </w:tc>
      </w:tr>
    </w:tbl>
    <w:p w14:paraId="4223D4E1" w14:textId="77777777" w:rsidR="00753DEE" w:rsidRDefault="00F02DE0">
      <w:pPr>
        <w:pStyle w:val="Heading4"/>
      </w:pPr>
      <w:bookmarkStart w:id="59" w:name="X0dba3e236679aa308826e74610871559dc81322"/>
      <w:bookmarkEnd w:id="52"/>
      <w:bookmarkEnd w:id="54"/>
      <w:r>
        <w:lastRenderedPageBreak/>
        <w:t>Interpretation Guidelines</w:t>
      </w:r>
    </w:p>
    <w:p w14:paraId="73AA993F" w14:textId="77777777" w:rsidR="00753DEE" w:rsidRDefault="00F02DE0">
      <w:pPr>
        <w:pStyle w:val="FirstParagraph"/>
      </w:pPr>
      <w:r>
        <w:t>If no data is returned, the response is HTTP code 404.</w:t>
      </w:r>
    </w:p>
    <w:p w14:paraId="72C5FA19" w14:textId="77777777" w:rsidR="00753DEE" w:rsidRDefault="00F02DE0">
      <w:pPr>
        <w:pStyle w:val="BodyText"/>
      </w:pPr>
      <w:r>
        <w:t xml:space="preserve">If the size of the data to be returned in more than the limit set by SECOM (i.e. 350 </w:t>
      </w:r>
      <w:proofErr w:type="spellStart"/>
      <w:r>
        <w:t>kbs</w:t>
      </w:r>
      <w:proofErr w:type="spellEnd"/>
      <w:r>
        <w:t xml:space="preserve">), an HTTP 413 error code is expected from the data provider. In that case the data consumer should make use of the Get </w:t>
      </w:r>
      <w:proofErr w:type="gramStart"/>
      <w:r>
        <w:t>By</w:t>
      </w:r>
      <w:proofErr w:type="gramEnd"/>
      <w:r>
        <w:t xml:space="preserve"> Link operation, described in Section 6.2.2.</w:t>
      </w:r>
    </w:p>
    <w:p w14:paraId="301886CC" w14:textId="77777777" w:rsidR="00753DEE" w:rsidRDefault="00F02DE0">
      <w:pPr>
        <w:pStyle w:val="BodyText"/>
      </w:pPr>
      <w:r>
        <w:t xml:space="preserve">The </w:t>
      </w:r>
      <w:proofErr w:type="spellStart"/>
      <w:r>
        <w:rPr>
          <w:b/>
          <w:bCs/>
        </w:rPr>
        <w:t>dataReference</w:t>
      </w:r>
      <w:proofErr w:type="spellEnd"/>
      <w:r>
        <w:t xml:space="preserve"> is used when a known data object is retrieved. The </w:t>
      </w:r>
      <w:proofErr w:type="spellStart"/>
      <w:r>
        <w:rPr>
          <w:rStyle w:val="VerbatimChar"/>
        </w:rPr>
        <w:t>dataReference</w:t>
      </w:r>
      <w:proofErr w:type="spellEnd"/>
      <w:r>
        <w:t xml:space="preserve"> is provided in the response from Get Summary and is typically an UUID.</w:t>
      </w:r>
    </w:p>
    <w:p w14:paraId="37F8015F" w14:textId="77777777" w:rsidR="00753DEE" w:rsidRDefault="00F02DE0">
      <w:pPr>
        <w:pStyle w:val="BodyText"/>
      </w:pPr>
      <w:r>
        <w:t xml:space="preserve">The </w:t>
      </w:r>
      <w:proofErr w:type="spellStart"/>
      <w:r>
        <w:rPr>
          <w:b/>
          <w:bCs/>
        </w:rPr>
        <w:t>containterType</w:t>
      </w:r>
      <w:proofErr w:type="spellEnd"/>
      <w:r>
        <w:t xml:space="preserve"> describes how the data is packaged, e.g. 0 for a S-100 </w:t>
      </w:r>
      <w:proofErr w:type="spellStart"/>
      <w:r>
        <w:t>DataSet</w:t>
      </w:r>
      <w:proofErr w:type="spellEnd"/>
      <w:r>
        <w:t>, 1 for a S-100 Exchange-Set or 2 for no specific container, e.g. RTZ in XML.</w:t>
      </w:r>
    </w:p>
    <w:p w14:paraId="40597B5E" w14:textId="77777777" w:rsidR="00753DEE" w:rsidRDefault="00F02DE0">
      <w:pPr>
        <w:pStyle w:val="BodyText"/>
      </w:pPr>
      <w:r>
        <w:t xml:space="preserve">The </w:t>
      </w:r>
      <w:proofErr w:type="spellStart"/>
      <w:r>
        <w:rPr>
          <w:b/>
          <w:bCs/>
        </w:rPr>
        <w:t>dataProductType</w:t>
      </w:r>
      <w:proofErr w:type="spellEnd"/>
      <w:r>
        <w:t xml:space="preserve"> is a string describing which data product that is in focus in the operation. </w:t>
      </w:r>
      <w:proofErr w:type="gramStart"/>
      <w:r>
        <w:t>For the purpose of</w:t>
      </w:r>
      <w:proofErr w:type="gramEnd"/>
      <w:r>
        <w:t xml:space="preserve"> this service design, it must always be “S-125” as per the format specified in S-100 [8].</w:t>
      </w:r>
    </w:p>
    <w:p w14:paraId="43DEA788" w14:textId="77777777" w:rsidR="00753DEE" w:rsidRDefault="00F02DE0">
      <w:pPr>
        <w:pStyle w:val="BodyText"/>
      </w:pPr>
      <w:r>
        <w:t xml:space="preserve">The </w:t>
      </w:r>
      <w:proofErr w:type="spellStart"/>
      <w:r>
        <w:rPr>
          <w:b/>
          <w:bCs/>
        </w:rPr>
        <w:t>productVersion</w:t>
      </w:r>
      <w:proofErr w:type="spellEnd"/>
      <w:r>
        <w:t xml:space="preserve"> describes the specific version of the data product specification of the data requested.</w:t>
      </w:r>
    </w:p>
    <w:p w14:paraId="4FCDD2D7" w14:textId="77777777" w:rsidR="00753DEE" w:rsidRDefault="00F02DE0">
      <w:pPr>
        <w:pStyle w:val="BodyText"/>
      </w:pPr>
      <w:r>
        <w:t xml:space="preserve">The </w:t>
      </w:r>
      <w:r>
        <w:rPr>
          <w:b/>
          <w:bCs/>
        </w:rPr>
        <w:t>geometry</w:t>
      </w:r>
      <w:r>
        <w:t xml:space="preserve"> describes geographical criteria for the data requested. The geometry is given as a one-line WKT formatted string and can contain one or more geospatial objects.</w:t>
      </w:r>
    </w:p>
    <w:p w14:paraId="261E520E" w14:textId="77777777" w:rsidR="00753DEE" w:rsidRDefault="00F02DE0">
      <w:pPr>
        <w:pStyle w:val="BodyText"/>
      </w:pPr>
      <w:r>
        <w:t xml:space="preserve">The </w:t>
      </w:r>
      <w:proofErr w:type="spellStart"/>
      <w:r>
        <w:rPr>
          <w:b/>
          <w:bCs/>
        </w:rPr>
        <w:t>unlocode</w:t>
      </w:r>
      <w:proofErr w:type="spellEnd"/>
      <w:r>
        <w:t xml:space="preserve"> describes with 5 characters the UN code for city or other area, such as a port. The </w:t>
      </w:r>
      <w:proofErr w:type="spellStart"/>
      <w:r>
        <w:rPr>
          <w:rStyle w:val="VerbatimChar"/>
        </w:rPr>
        <w:t>unlocode</w:t>
      </w:r>
      <w:proofErr w:type="spellEnd"/>
      <w:r>
        <w:t xml:space="preserve"> is a list administered by UN and can be found online. Many </w:t>
      </w:r>
      <w:proofErr w:type="spellStart"/>
      <w:r>
        <w:rPr>
          <w:rStyle w:val="VerbatimChar"/>
        </w:rPr>
        <w:t>unlocode</w:t>
      </w:r>
      <w:r>
        <w:t>s</w:t>
      </w:r>
      <w:proofErr w:type="spellEnd"/>
      <w:r>
        <w:t xml:space="preserve"> have a position in longitude/latitude attached, but not all. In most cases the </w:t>
      </w:r>
      <w:proofErr w:type="spellStart"/>
      <w:r>
        <w:rPr>
          <w:rStyle w:val="VerbatimChar"/>
        </w:rPr>
        <w:t>unlocode</w:t>
      </w:r>
      <w:proofErr w:type="spellEnd"/>
      <w:r>
        <w:t xml:space="preserve"> will be used as text only but this may depend on the service developer.</w:t>
      </w:r>
    </w:p>
    <w:p w14:paraId="743EB5A7" w14:textId="77777777" w:rsidR="00753DEE" w:rsidRDefault="00F02DE0">
      <w:pPr>
        <w:pStyle w:val="BodyText"/>
      </w:pPr>
      <w:r>
        <w:t xml:space="preserve">The </w:t>
      </w:r>
      <w:proofErr w:type="spellStart"/>
      <w:r>
        <w:rPr>
          <w:b/>
          <w:bCs/>
        </w:rPr>
        <w:t>validFrom</w:t>
      </w:r>
      <w:proofErr w:type="spellEnd"/>
      <w:r>
        <w:t>/</w:t>
      </w:r>
      <w:proofErr w:type="spellStart"/>
      <w:r>
        <w:rPr>
          <w:b/>
          <w:bCs/>
        </w:rPr>
        <w:t>validTo</w:t>
      </w:r>
      <w:proofErr w:type="spellEnd"/>
      <w:r>
        <w:t xml:space="preserve"> describes the requested validity time for the requested data in ISO 8601 UTC formatted as </w:t>
      </w:r>
      <w:proofErr w:type="spellStart"/>
      <w:r>
        <w:t>yyyy</w:t>
      </w:r>
      <w:proofErr w:type="spellEnd"/>
      <w:r>
        <w:t xml:space="preserve">-mm-dd </w:t>
      </w:r>
      <w:proofErr w:type="spellStart"/>
      <w:r>
        <w:t>hh:</w:t>
      </w:r>
      <w:proofErr w:type="gramStart"/>
      <w:r>
        <w:t>mm:ssZ</w:t>
      </w:r>
      <w:proofErr w:type="spellEnd"/>
      <w:proofErr w:type="gramEnd"/>
      <w:r>
        <w:t>.</w:t>
      </w:r>
    </w:p>
    <w:p w14:paraId="24CBCE51" w14:textId="77777777" w:rsidR="00753DEE" w:rsidRDefault="00F02DE0">
      <w:pPr>
        <w:pStyle w:val="Heading3"/>
      </w:pPr>
      <w:bookmarkStart w:id="60" w:name="_Toc225155477"/>
      <w:bookmarkStart w:id="61" w:name="X04098b45f55e66745ddfa91a8e5d3876c4a684b"/>
      <w:bookmarkEnd w:id="55"/>
      <w:bookmarkEnd w:id="56"/>
      <w:r>
        <w:t>Operation Get by Link</w:t>
      </w:r>
      <w:bookmarkEnd w:id="60"/>
    </w:p>
    <w:p w14:paraId="39B6BCA3" w14:textId="77777777" w:rsidR="00753DEE" w:rsidRDefault="00F02DE0">
      <w:pPr>
        <w:pStyle w:val="FirstParagraph"/>
      </w:pPr>
      <w:r>
        <w:t xml:space="preserve">The </w:t>
      </w:r>
      <w:r>
        <w:rPr>
          <w:i/>
          <w:iCs/>
        </w:rPr>
        <w:t>Get by Link</w:t>
      </w:r>
      <w:r>
        <w:t xml:space="preserve"> operation is used by data consumers for retrieving large </w:t>
      </w:r>
      <w:proofErr w:type="spellStart"/>
      <w:r>
        <w:t>AtoN</w:t>
      </w:r>
      <w:proofErr w:type="spellEnd"/>
      <w:r>
        <w:t xml:space="preserve"> information datasets directly from a data provider. This interface shall be used instead of the Get, when the size of the data to be exchanged exceeds the SECOM limit (i.e. 350kbs). The consumer in this case cannot filter the pre-prepared results any further.</w:t>
      </w:r>
    </w:p>
    <w:p w14:paraId="326F906F" w14:textId="77777777" w:rsidR="00753DEE" w:rsidRDefault="00F02DE0">
      <w:pPr>
        <w:pStyle w:val="BodyText"/>
      </w:pPr>
      <w:r>
        <w:t>The Get by Link operation interface must be implemented only by the data provider.</w:t>
      </w:r>
    </w:p>
    <w:p w14:paraId="7D04B648" w14:textId="77777777" w:rsidR="00753DEE" w:rsidRDefault="00F02DE0">
      <w:pPr>
        <w:pStyle w:val="BodyText"/>
      </w:pPr>
      <w:r>
        <w:t>Use of the interface is according to the SECOM specification.</w:t>
      </w:r>
    </w:p>
    <w:p w14:paraId="38D1DEB2" w14:textId="77777777" w:rsidR="00753DEE" w:rsidRDefault="00F02DE0">
      <w:pPr>
        <w:pStyle w:val="Compact"/>
        <w:numPr>
          <w:ilvl w:val="0"/>
          <w:numId w:val="76"/>
        </w:numPr>
      </w:pPr>
      <w:r>
        <w:t>Name: Get by Link Interface</w:t>
      </w:r>
    </w:p>
    <w:p w14:paraId="665913ED" w14:textId="77777777" w:rsidR="00753DEE" w:rsidRDefault="00F02DE0">
      <w:pPr>
        <w:pStyle w:val="Compact"/>
        <w:numPr>
          <w:ilvl w:val="0"/>
          <w:numId w:val="76"/>
        </w:numPr>
      </w:pPr>
      <w:r>
        <w:t>Sub-path: /v2/object/link</w:t>
      </w:r>
    </w:p>
    <w:p w14:paraId="025E4CF5" w14:textId="77777777" w:rsidR="00753DEE" w:rsidRDefault="00F02DE0">
      <w:pPr>
        <w:pStyle w:val="Compact"/>
        <w:numPr>
          <w:ilvl w:val="0"/>
          <w:numId w:val="76"/>
        </w:numPr>
      </w:pPr>
      <w:r>
        <w:t>HTTP-Method: GET</w:t>
      </w:r>
    </w:p>
    <w:p w14:paraId="76BB0F05" w14:textId="77777777" w:rsidR="00753DEE" w:rsidRDefault="00F02DE0">
      <w:pPr>
        <w:pStyle w:val="Compact"/>
        <w:numPr>
          <w:ilvl w:val="0"/>
          <w:numId w:val="76"/>
        </w:numPr>
      </w:pPr>
      <w:r>
        <w:t>Cookies: Session-Cookies (optional)</w:t>
      </w:r>
    </w:p>
    <w:p w14:paraId="013C1F9E" w14:textId="77777777" w:rsidR="00753DEE" w:rsidRDefault="00F02DE0">
      <w:pPr>
        <w:pStyle w:val="Compact"/>
        <w:numPr>
          <w:ilvl w:val="0"/>
          <w:numId w:val="76"/>
        </w:numPr>
      </w:pPr>
      <w:r>
        <w:t>Content-Type: application/</w:t>
      </w:r>
      <w:proofErr w:type="spellStart"/>
      <w:r>
        <w:t>json</w:t>
      </w:r>
      <w:proofErr w:type="spellEnd"/>
    </w:p>
    <w:p w14:paraId="7A95B10F" w14:textId="77777777" w:rsidR="00753DEE" w:rsidRDefault="00F02DE0">
      <w:pPr>
        <w:pStyle w:val="Heading4"/>
      </w:pPr>
      <w:bookmarkStart w:id="62" w:name="X4540b5f8a5a9816c41ba6725d487bcb0e2aeaa9"/>
      <w:r>
        <w:t>Operation Functionality</w:t>
      </w:r>
    </w:p>
    <w:p w14:paraId="5BB68349" w14:textId="77777777" w:rsidR="00753DEE" w:rsidRDefault="00F02DE0">
      <w:pPr>
        <w:pStyle w:val="FirstParagraph"/>
      </w:pPr>
      <w:r>
        <w:t xml:space="preserve">The operation validates the given </w:t>
      </w:r>
      <w:proofErr w:type="spellStart"/>
      <w:r>
        <w:rPr>
          <w:rStyle w:val="VerbatimChar"/>
        </w:rPr>
        <w:t>transactionIdentifier</w:t>
      </w:r>
      <w:proofErr w:type="spellEnd"/>
      <w:r>
        <w:t xml:space="preserve"> against the caller’s identity and the </w:t>
      </w:r>
      <w:proofErr w:type="spellStart"/>
      <w:r>
        <w:t>timeToLive</w:t>
      </w:r>
      <w:proofErr w:type="spellEnd"/>
      <w:r>
        <w:t xml:space="preserve"> given for the data. The data is then packaged according to agreement in Upload </w:t>
      </w:r>
      <w:proofErr w:type="gramStart"/>
      <w:r>
        <w:t>By</w:t>
      </w:r>
      <w:proofErr w:type="gramEnd"/>
      <w:r>
        <w:t xml:space="preserve"> Link and returned in the call.</w:t>
      </w:r>
    </w:p>
    <w:p w14:paraId="03D7700C" w14:textId="77777777" w:rsidR="00753DEE" w:rsidRDefault="00F02DE0">
      <w:pPr>
        <w:pStyle w:val="Heading4"/>
      </w:pPr>
      <w:bookmarkStart w:id="63" w:name="Xcc15c6eeb994562777ad5dc831c02fe0bbb99fa"/>
      <w:bookmarkEnd w:id="58"/>
      <w:r>
        <w:t>Operation Parameters</w:t>
      </w:r>
    </w:p>
    <w:p w14:paraId="7AF23EBE" w14:textId="77777777" w:rsidR="00753DEE" w:rsidRDefault="00F02DE0">
      <w:pPr>
        <w:pStyle w:val="TableCaption"/>
      </w:pPr>
      <w:bookmarkStart w:id="64" w:name="_Toc225155437"/>
      <w:bookmarkStart w:id="65" w:name="tbl:get_by_link_operation_parameters"/>
      <w:r>
        <w:t xml:space="preserve">The Get </w:t>
      </w:r>
      <w:proofErr w:type="gramStart"/>
      <w:r>
        <w:t>By</w:t>
      </w:r>
      <w:proofErr w:type="gramEnd"/>
      <w:r>
        <w:t xml:space="preserve"> Link Operation Parameters.</w:t>
      </w:r>
      <w:bookmarkEnd w:id="64"/>
    </w:p>
    <w:tbl>
      <w:tblPr>
        <w:tblStyle w:val="Table"/>
        <w:tblW w:w="5000" w:type="pct"/>
        <w:tblLayout w:type="fixed"/>
        <w:tblLook w:val="0020" w:firstRow="1" w:lastRow="0" w:firstColumn="0" w:lastColumn="0" w:noHBand="0" w:noVBand="0"/>
        <w:tblCaption w:val="The Get By Link Operation Parameters."/>
      </w:tblPr>
      <w:tblGrid>
        <w:gridCol w:w="2548"/>
        <w:gridCol w:w="2549"/>
        <w:gridCol w:w="2549"/>
        <w:gridCol w:w="2549"/>
      </w:tblGrid>
      <w:tr w:rsidR="00753DEE" w14:paraId="2EF1B8C8"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3A5DFCAE" w14:textId="77777777" w:rsidR="00753DEE" w:rsidRDefault="00F02DE0">
            <w:pPr>
              <w:pStyle w:val="Compact"/>
            </w:pPr>
            <w:r>
              <w:t>Parameters (in)</w:t>
            </w:r>
          </w:p>
        </w:tc>
        <w:tc>
          <w:tcPr>
            <w:tcW w:w="1980" w:type="dxa"/>
          </w:tcPr>
          <w:p w14:paraId="42B36A37" w14:textId="77777777" w:rsidR="00753DEE" w:rsidRDefault="00F02DE0">
            <w:pPr>
              <w:pStyle w:val="Compact"/>
            </w:pPr>
            <w:r>
              <w:t>Encoding</w:t>
            </w:r>
          </w:p>
        </w:tc>
        <w:tc>
          <w:tcPr>
            <w:tcW w:w="1980" w:type="dxa"/>
          </w:tcPr>
          <w:p w14:paraId="77FE92FF" w14:textId="77777777" w:rsidR="00753DEE" w:rsidRDefault="00F02DE0">
            <w:pPr>
              <w:pStyle w:val="Compact"/>
            </w:pPr>
            <w:r>
              <w:t>Mult.</w:t>
            </w:r>
          </w:p>
        </w:tc>
        <w:tc>
          <w:tcPr>
            <w:tcW w:w="1980" w:type="dxa"/>
          </w:tcPr>
          <w:p w14:paraId="7C5A4ABA" w14:textId="77777777" w:rsidR="00753DEE" w:rsidRDefault="00F02DE0">
            <w:pPr>
              <w:pStyle w:val="Compact"/>
            </w:pPr>
            <w:r>
              <w:t>Descriptions</w:t>
            </w:r>
          </w:p>
        </w:tc>
      </w:tr>
      <w:tr w:rsidR="00753DEE" w14:paraId="6EC21BC6" w14:textId="77777777">
        <w:tc>
          <w:tcPr>
            <w:tcW w:w="1980" w:type="dxa"/>
          </w:tcPr>
          <w:p w14:paraId="0A4AAA33" w14:textId="77777777" w:rsidR="00753DEE" w:rsidRDefault="00F02DE0">
            <w:pPr>
              <w:pStyle w:val="Compact"/>
            </w:pPr>
            <w:proofErr w:type="spellStart"/>
            <w:r>
              <w:t>transactionIdentifier</w:t>
            </w:r>
            <w:proofErr w:type="spellEnd"/>
          </w:p>
        </w:tc>
        <w:tc>
          <w:tcPr>
            <w:tcW w:w="1980" w:type="dxa"/>
          </w:tcPr>
          <w:p w14:paraId="6D701C53" w14:textId="77777777" w:rsidR="00753DEE" w:rsidRDefault="00F02DE0">
            <w:pPr>
              <w:pStyle w:val="Compact"/>
            </w:pPr>
            <w:r>
              <w:t>UUID</w:t>
            </w:r>
          </w:p>
        </w:tc>
        <w:tc>
          <w:tcPr>
            <w:tcW w:w="1980" w:type="dxa"/>
          </w:tcPr>
          <w:p w14:paraId="00FB8608" w14:textId="77777777" w:rsidR="00753DEE" w:rsidRDefault="00F02DE0">
            <w:pPr>
              <w:pStyle w:val="Compact"/>
            </w:pPr>
            <w:r>
              <w:t>1</w:t>
            </w:r>
          </w:p>
        </w:tc>
        <w:tc>
          <w:tcPr>
            <w:tcW w:w="1980" w:type="dxa"/>
          </w:tcPr>
          <w:p w14:paraId="4C518758" w14:textId="77777777" w:rsidR="00753DEE" w:rsidRDefault="00F02DE0">
            <w:pPr>
              <w:pStyle w:val="Compact"/>
            </w:pPr>
            <w:r>
              <w:t>Identifier uploaded in Upload Link</w:t>
            </w:r>
          </w:p>
        </w:tc>
      </w:tr>
      <w:tr w:rsidR="00753DEE" w14:paraId="654A4265" w14:textId="77777777">
        <w:tc>
          <w:tcPr>
            <w:tcW w:w="1980" w:type="dxa"/>
          </w:tcPr>
          <w:p w14:paraId="27B07A4F" w14:textId="77777777" w:rsidR="00753DEE" w:rsidRDefault="00F02DE0">
            <w:pPr>
              <w:pStyle w:val="Compact"/>
            </w:pPr>
            <w:proofErr w:type="spellStart"/>
            <w:r>
              <w:lastRenderedPageBreak/>
              <w:t>envelopeSignatureCertificate</w:t>
            </w:r>
            <w:proofErr w:type="spellEnd"/>
          </w:p>
        </w:tc>
        <w:tc>
          <w:tcPr>
            <w:tcW w:w="1980" w:type="dxa"/>
          </w:tcPr>
          <w:p w14:paraId="3850FA72" w14:textId="77777777" w:rsidR="00753DEE" w:rsidRDefault="00F02DE0">
            <w:pPr>
              <w:pStyle w:val="Compact"/>
            </w:pPr>
            <w:r>
              <w:t>String</w:t>
            </w:r>
          </w:p>
        </w:tc>
        <w:tc>
          <w:tcPr>
            <w:tcW w:w="1980" w:type="dxa"/>
          </w:tcPr>
          <w:p w14:paraId="15A4C7C6" w14:textId="77777777" w:rsidR="00753DEE" w:rsidRDefault="00F02DE0">
            <w:pPr>
              <w:pStyle w:val="Compact"/>
            </w:pPr>
            <w:proofErr w:type="gramStart"/>
            <w:r>
              <w:t>1..*</w:t>
            </w:r>
            <w:proofErr w:type="gramEnd"/>
          </w:p>
        </w:tc>
        <w:tc>
          <w:tcPr>
            <w:tcW w:w="1980" w:type="dxa"/>
          </w:tcPr>
          <w:p w14:paraId="6D90C108" w14:textId="77777777" w:rsidR="00753DEE" w:rsidRDefault="00F02DE0">
            <w:pPr>
              <w:pStyle w:val="Compact"/>
            </w:pPr>
            <w:r>
              <w:t>The public certificate(s) of the sender. Used to verify the envelope signature.</w:t>
            </w:r>
          </w:p>
        </w:tc>
      </w:tr>
      <w:tr w:rsidR="00753DEE" w14:paraId="6077AED4" w14:textId="77777777">
        <w:tc>
          <w:tcPr>
            <w:tcW w:w="1980" w:type="dxa"/>
          </w:tcPr>
          <w:p w14:paraId="6CE20B82" w14:textId="77777777" w:rsidR="00753DEE" w:rsidRDefault="00F02DE0">
            <w:pPr>
              <w:pStyle w:val="Compact"/>
            </w:pPr>
            <w:proofErr w:type="spellStart"/>
            <w:r>
              <w:t>envelopeRootCertificateThumbprint</w:t>
            </w:r>
            <w:proofErr w:type="spellEnd"/>
          </w:p>
        </w:tc>
        <w:tc>
          <w:tcPr>
            <w:tcW w:w="1980" w:type="dxa"/>
          </w:tcPr>
          <w:p w14:paraId="36E06CDE" w14:textId="77777777" w:rsidR="00753DEE" w:rsidRDefault="00F02DE0">
            <w:pPr>
              <w:pStyle w:val="Compact"/>
            </w:pPr>
            <w:r>
              <w:t>String</w:t>
            </w:r>
          </w:p>
        </w:tc>
        <w:tc>
          <w:tcPr>
            <w:tcW w:w="1980" w:type="dxa"/>
          </w:tcPr>
          <w:p w14:paraId="5ABD5730" w14:textId="77777777" w:rsidR="00753DEE" w:rsidRDefault="00F02DE0">
            <w:pPr>
              <w:pStyle w:val="Compact"/>
            </w:pPr>
            <w:r>
              <w:t>1</w:t>
            </w:r>
          </w:p>
        </w:tc>
        <w:tc>
          <w:tcPr>
            <w:tcW w:w="1980" w:type="dxa"/>
          </w:tcPr>
          <w:p w14:paraId="2CC6C4C6" w14:textId="77777777" w:rsidR="00753DEE" w:rsidRDefault="00F02DE0">
            <w:pPr>
              <w:pStyle w:val="Compact"/>
            </w:pPr>
            <w:r>
              <w:t>Claimed Thumbprint for Signed Root Key (X.509 Certificate) SHA256 and base64 as format.</w:t>
            </w:r>
          </w:p>
        </w:tc>
      </w:tr>
      <w:tr w:rsidR="00753DEE" w14:paraId="1733740C" w14:textId="77777777">
        <w:tc>
          <w:tcPr>
            <w:tcW w:w="1980" w:type="dxa"/>
          </w:tcPr>
          <w:p w14:paraId="6A7ADF1E" w14:textId="77777777" w:rsidR="00753DEE" w:rsidRDefault="00F02DE0">
            <w:pPr>
              <w:pStyle w:val="Compact"/>
            </w:pPr>
            <w:proofErr w:type="spellStart"/>
            <w:r>
              <w:t>envelopeSignatureTime</w:t>
            </w:r>
            <w:proofErr w:type="spellEnd"/>
          </w:p>
        </w:tc>
        <w:tc>
          <w:tcPr>
            <w:tcW w:w="1980" w:type="dxa"/>
          </w:tcPr>
          <w:p w14:paraId="06CE7584" w14:textId="77777777" w:rsidR="00753DEE" w:rsidRDefault="00F02DE0">
            <w:pPr>
              <w:pStyle w:val="Compact"/>
            </w:pPr>
            <w:proofErr w:type="spellStart"/>
            <w:r>
              <w:t>DateTime</w:t>
            </w:r>
            <w:proofErr w:type="spellEnd"/>
          </w:p>
        </w:tc>
        <w:tc>
          <w:tcPr>
            <w:tcW w:w="1980" w:type="dxa"/>
          </w:tcPr>
          <w:p w14:paraId="397F06D8" w14:textId="77777777" w:rsidR="00753DEE" w:rsidRDefault="00F02DE0">
            <w:pPr>
              <w:pStyle w:val="Compact"/>
            </w:pPr>
            <w:r>
              <w:t>1</w:t>
            </w:r>
          </w:p>
        </w:tc>
        <w:tc>
          <w:tcPr>
            <w:tcW w:w="1980" w:type="dxa"/>
          </w:tcPr>
          <w:p w14:paraId="593667A8" w14:textId="77777777" w:rsidR="00753DEE" w:rsidRDefault="00F02DE0">
            <w:pPr>
              <w:pStyle w:val="Compact"/>
            </w:pPr>
            <w:r>
              <w:t>Timestamp when the envelope is signed envelope.</w:t>
            </w:r>
          </w:p>
        </w:tc>
      </w:tr>
      <w:tr w:rsidR="00753DEE" w14:paraId="57C3B8BD" w14:textId="77777777">
        <w:tc>
          <w:tcPr>
            <w:tcW w:w="1980" w:type="dxa"/>
          </w:tcPr>
          <w:p w14:paraId="2BF7A5EF" w14:textId="77777777" w:rsidR="00753DEE" w:rsidRDefault="00F02DE0">
            <w:pPr>
              <w:pStyle w:val="Compact"/>
            </w:pPr>
            <w:proofErr w:type="spellStart"/>
            <w:r>
              <w:t>SignatureReference</w:t>
            </w:r>
            <w:proofErr w:type="spellEnd"/>
          </w:p>
        </w:tc>
        <w:tc>
          <w:tcPr>
            <w:tcW w:w="1980" w:type="dxa"/>
          </w:tcPr>
          <w:p w14:paraId="56A596CB" w14:textId="77777777" w:rsidR="00753DEE" w:rsidRDefault="00F02DE0">
            <w:pPr>
              <w:pStyle w:val="Compact"/>
            </w:pPr>
            <w:r>
              <w:t>String</w:t>
            </w:r>
          </w:p>
        </w:tc>
        <w:tc>
          <w:tcPr>
            <w:tcW w:w="1980" w:type="dxa"/>
          </w:tcPr>
          <w:p w14:paraId="2996C2D6" w14:textId="77777777" w:rsidR="00753DEE" w:rsidRDefault="00F02DE0">
            <w:pPr>
              <w:pStyle w:val="Compact"/>
            </w:pPr>
            <w:r>
              <w:t>1</w:t>
            </w:r>
          </w:p>
        </w:tc>
        <w:tc>
          <w:tcPr>
            <w:tcW w:w="1980" w:type="dxa"/>
          </w:tcPr>
          <w:p w14:paraId="17BD6476" w14:textId="77777777" w:rsidR="00753DEE" w:rsidRDefault="00F02DE0">
            <w:pPr>
              <w:pStyle w:val="Compact"/>
            </w:pPr>
            <w:r>
              <w:t xml:space="preserve">Specifies the algorithm used to compute </w:t>
            </w:r>
            <w:proofErr w:type="spellStart"/>
            <w:r>
              <w:t>digitalSignatureValue</w:t>
            </w:r>
            <w:proofErr w:type="spellEnd"/>
            <w:r>
              <w:t xml:space="preserve">. For </w:t>
            </w:r>
            <w:proofErr w:type="gramStart"/>
            <w:r>
              <w:t>example</w:t>
            </w:r>
            <w:proofErr w:type="gramEnd"/>
            <w:r>
              <w:t xml:space="preserve"> “ECDSA-384-SHA2”.</w:t>
            </w:r>
          </w:p>
        </w:tc>
      </w:tr>
    </w:tbl>
    <w:p w14:paraId="0A931B81" w14:textId="77777777" w:rsidR="00753DEE" w:rsidRDefault="00F02DE0">
      <w:pPr>
        <w:pStyle w:val="Heading4"/>
      </w:pPr>
      <w:bookmarkStart w:id="66" w:name="X8ba82c381d969fec1339bb98226af930ce2e478"/>
      <w:bookmarkEnd w:id="59"/>
      <w:bookmarkEnd w:id="61"/>
      <w:r>
        <w:t>Interpretation Guidelines</w:t>
      </w:r>
    </w:p>
    <w:p w14:paraId="4892EC78" w14:textId="77777777" w:rsidR="00753DEE" w:rsidRDefault="00F02DE0">
      <w:pPr>
        <w:pStyle w:val="FirstParagraph"/>
      </w:pPr>
      <w:r>
        <w:t xml:space="preserve">The unique </w:t>
      </w:r>
      <w:proofErr w:type="spellStart"/>
      <w:r>
        <w:rPr>
          <w:b/>
          <w:bCs/>
        </w:rPr>
        <w:t>transactionIdentifier</w:t>
      </w:r>
      <w:proofErr w:type="spellEnd"/>
      <w:r>
        <w:t xml:space="preserve"> given by the Upload </w:t>
      </w:r>
      <w:proofErr w:type="gramStart"/>
      <w:r>
        <w:t>By</w:t>
      </w:r>
      <w:proofErr w:type="gramEnd"/>
      <w:r>
        <w:t xml:space="preserve"> Link call.</w:t>
      </w:r>
    </w:p>
    <w:p w14:paraId="478691CF" w14:textId="77777777" w:rsidR="00753DEE" w:rsidRDefault="00F02DE0">
      <w:pPr>
        <w:pStyle w:val="BodyText"/>
      </w:pPr>
      <w:r>
        <w:t xml:space="preserve">If the provided </w:t>
      </w:r>
      <w:proofErr w:type="spellStart"/>
      <w:r>
        <w:rPr>
          <w:rStyle w:val="VerbatimChar"/>
        </w:rPr>
        <w:t>transactionIdentifier</w:t>
      </w:r>
      <w:proofErr w:type="spellEnd"/>
      <w:r>
        <w:t xml:space="preserve"> is not valid, the response is HTTP code 404.</w:t>
      </w:r>
    </w:p>
    <w:p w14:paraId="1094805A" w14:textId="77777777" w:rsidR="00753DEE" w:rsidRDefault="00F02DE0">
      <w:pPr>
        <w:pStyle w:val="BodyText"/>
      </w:pPr>
      <w:r>
        <w:t xml:space="preserve">There is not specific time constraint for a data consumer to retrieve the results through the Get by Link operation. </w:t>
      </w:r>
      <w:proofErr w:type="gramStart"/>
      <w:r>
        <w:t>If</w:t>
      </w:r>
      <w:proofErr w:type="gramEnd"/>
      <w:r>
        <w:t xml:space="preserve"> however, the involved datasets have in the meantime been cancelled, the data provider is allowed to drop the pending transactions.</w:t>
      </w:r>
    </w:p>
    <w:p w14:paraId="2C0CC17B" w14:textId="77777777" w:rsidR="00753DEE" w:rsidRDefault="00F02DE0">
      <w:pPr>
        <w:pStyle w:val="Heading3"/>
      </w:pPr>
      <w:bookmarkStart w:id="67" w:name="_Toc225155478"/>
      <w:bookmarkStart w:id="68" w:name="X6e2b084e24fe8292896ed461826134b126df0c4"/>
      <w:bookmarkEnd w:id="62"/>
      <w:bookmarkEnd w:id="63"/>
      <w:r>
        <w:t>Operation Get Summary</w:t>
      </w:r>
      <w:bookmarkEnd w:id="67"/>
    </w:p>
    <w:p w14:paraId="00675BC9" w14:textId="77777777" w:rsidR="00753DEE" w:rsidRDefault="00F02DE0">
      <w:pPr>
        <w:pStyle w:val="FirstParagraph"/>
      </w:pPr>
      <w:r>
        <w:t xml:space="preserve">The </w:t>
      </w:r>
      <w:r>
        <w:rPr>
          <w:i/>
          <w:iCs/>
        </w:rPr>
        <w:t>Get Summary</w:t>
      </w:r>
      <w:r>
        <w:t xml:space="preserve"> operation is used by data consumers to discover the </w:t>
      </w:r>
      <w:proofErr w:type="spellStart"/>
      <w:r>
        <w:t>AtoN</w:t>
      </w:r>
      <w:proofErr w:type="spellEnd"/>
      <w:r>
        <w:t xml:space="preserve"> information that can be made available (and is accessible) by a data provider. The data provider will respond by listing the available (and accessible) S-125 datasets that are of interest to the consumer. This list should only contain summary information on each S-125 dataset, not the dataset content itself. UUID-based dataset identifiers can be used to retrieve the full S-125 datasets via the Get interface. The consumer can filter the req</w:t>
      </w:r>
      <w:r>
        <w:t>uested S-125 dataset results through parameters like the dataset identifier, validity period and/or geometry etc.</w:t>
      </w:r>
    </w:p>
    <w:p w14:paraId="1838E82B" w14:textId="77777777" w:rsidR="00753DEE" w:rsidRDefault="00F02DE0">
      <w:pPr>
        <w:pStyle w:val="BodyText"/>
      </w:pPr>
      <w:r>
        <w:t>The Get Summary operation interface must be implemented only by the data provider.</w:t>
      </w:r>
    </w:p>
    <w:p w14:paraId="5A2F6B4C" w14:textId="77777777" w:rsidR="00753DEE" w:rsidRDefault="00F02DE0">
      <w:pPr>
        <w:pStyle w:val="BodyText"/>
      </w:pPr>
      <w:r>
        <w:t>Use of the interface is according to the SECOM specification.</w:t>
      </w:r>
    </w:p>
    <w:p w14:paraId="68343B39" w14:textId="77777777" w:rsidR="00753DEE" w:rsidRDefault="00F02DE0">
      <w:pPr>
        <w:pStyle w:val="Compact"/>
        <w:numPr>
          <w:ilvl w:val="0"/>
          <w:numId w:val="77"/>
        </w:numPr>
      </w:pPr>
      <w:r>
        <w:t>Name: Get Summary Interface</w:t>
      </w:r>
    </w:p>
    <w:p w14:paraId="36D0EC59" w14:textId="77777777" w:rsidR="00753DEE" w:rsidRDefault="00F02DE0">
      <w:pPr>
        <w:pStyle w:val="Compact"/>
        <w:numPr>
          <w:ilvl w:val="0"/>
          <w:numId w:val="77"/>
        </w:numPr>
      </w:pPr>
      <w:r>
        <w:t>Sub-path: /v2/object/summary</w:t>
      </w:r>
    </w:p>
    <w:p w14:paraId="0807E8BA" w14:textId="77777777" w:rsidR="00753DEE" w:rsidRDefault="00F02DE0">
      <w:pPr>
        <w:pStyle w:val="Compact"/>
        <w:numPr>
          <w:ilvl w:val="0"/>
          <w:numId w:val="77"/>
        </w:numPr>
      </w:pPr>
      <w:r>
        <w:t>HTTP-Method: GET</w:t>
      </w:r>
    </w:p>
    <w:p w14:paraId="3277EB9B" w14:textId="77777777" w:rsidR="00753DEE" w:rsidRDefault="00F02DE0">
      <w:pPr>
        <w:pStyle w:val="Compact"/>
        <w:numPr>
          <w:ilvl w:val="0"/>
          <w:numId w:val="77"/>
        </w:numPr>
      </w:pPr>
      <w:r>
        <w:t>Cookies: Session-Cookies (optional)</w:t>
      </w:r>
    </w:p>
    <w:p w14:paraId="3D967073" w14:textId="77777777" w:rsidR="00753DEE" w:rsidRDefault="00F02DE0">
      <w:pPr>
        <w:pStyle w:val="Compact"/>
        <w:numPr>
          <w:ilvl w:val="0"/>
          <w:numId w:val="77"/>
        </w:numPr>
      </w:pPr>
      <w:r>
        <w:t>Content-Type: application/</w:t>
      </w:r>
      <w:proofErr w:type="spellStart"/>
      <w:r>
        <w:t>json</w:t>
      </w:r>
      <w:proofErr w:type="spellEnd"/>
    </w:p>
    <w:p w14:paraId="4F64CF22" w14:textId="77777777" w:rsidR="00753DEE" w:rsidRDefault="00F02DE0">
      <w:pPr>
        <w:pStyle w:val="Heading4"/>
      </w:pPr>
      <w:bookmarkStart w:id="69" w:name="X0e98880d06e0a5dcdcb4394fd69acf518fb1342"/>
      <w:r>
        <w:t>Operation Functionality</w:t>
      </w:r>
    </w:p>
    <w:p w14:paraId="696B1FA5" w14:textId="77777777" w:rsidR="00753DEE" w:rsidRDefault="00F02DE0">
      <w:pPr>
        <w:pStyle w:val="FirstParagraph"/>
      </w:pPr>
      <w:r>
        <w:t>All instances of this service design must provide access to the summary information of all S-125 datasets made available for their advertised coverage area. Each individual S-125 dataset should have a fixed MRN identifier associated with it, while each S-125 dataset update must be identified using a different unique UUID.</w:t>
      </w:r>
    </w:p>
    <w:p w14:paraId="4DA9E40B" w14:textId="77777777" w:rsidR="00753DEE" w:rsidRDefault="00F02DE0">
      <w:pPr>
        <w:pStyle w:val="BodyText"/>
      </w:pPr>
      <w:r>
        <w:t>The operation supports multiple filter parameters, presented in more detail in Table 4. To ensure the authenticity of the operation request, the filter parameters are included within a signed SECOM envelope structure. Data provider instances are required to support all referenced filter parameters.</w:t>
      </w:r>
    </w:p>
    <w:p w14:paraId="099E5171" w14:textId="77777777" w:rsidR="00753DEE" w:rsidRDefault="00F02DE0">
      <w:pPr>
        <w:pStyle w:val="BodyText"/>
      </w:pPr>
      <w:r>
        <w:t>If multiple query parameters are provided, only results that match all requested filters, combined with logical AND, must be returned. If no parameters are given, the response is either an empty list or all available dataset summaries the consumer has been given access to by the service provider.</w:t>
      </w:r>
    </w:p>
    <w:p w14:paraId="19A70E8E" w14:textId="77777777" w:rsidR="00753DEE" w:rsidRDefault="00F02DE0">
      <w:pPr>
        <w:pStyle w:val="BodyText"/>
      </w:pPr>
      <w:r>
        <w:lastRenderedPageBreak/>
        <w:t xml:space="preserve">Depending on the combination of the </w:t>
      </w:r>
      <w:proofErr w:type="spellStart"/>
      <w:r>
        <w:rPr>
          <w:b/>
          <w:bCs/>
        </w:rPr>
        <w:t>containterType</w:t>
      </w:r>
      <w:proofErr w:type="spellEnd"/>
      <w:r>
        <w:t xml:space="preserve"> and </w:t>
      </w:r>
      <w:proofErr w:type="spellStart"/>
      <w:r>
        <w:rPr>
          <w:b/>
          <w:bCs/>
        </w:rPr>
        <w:t>validFrom</w:t>
      </w:r>
      <w:proofErr w:type="spellEnd"/>
      <w:r>
        <w:t>/</w:t>
      </w:r>
      <w:proofErr w:type="spellStart"/>
      <w:r>
        <w:rPr>
          <w:b/>
          <w:bCs/>
        </w:rPr>
        <w:t>validTo</w:t>
      </w:r>
      <w:proofErr w:type="spellEnd"/>
      <w:r>
        <w:t xml:space="preserve"> input parameter values, the data provider must respond differently:</w:t>
      </w:r>
    </w:p>
    <w:p w14:paraId="38E62166" w14:textId="77777777" w:rsidR="00753DEE" w:rsidRDefault="00F02DE0">
      <w:pPr>
        <w:pStyle w:val="Compact"/>
        <w:numPr>
          <w:ilvl w:val="0"/>
          <w:numId w:val="78"/>
        </w:numPr>
      </w:pPr>
      <w:r>
        <w:t xml:space="preserve">For the </w:t>
      </w:r>
      <w:proofErr w:type="spellStart"/>
      <w:r>
        <w:rPr>
          <w:b/>
          <w:bCs/>
        </w:rPr>
        <w:t>containterType</w:t>
      </w:r>
      <w:proofErr w:type="spellEnd"/>
      <w:r>
        <w:t xml:space="preserve"> set to </w:t>
      </w:r>
      <w:r>
        <w:rPr>
          <w:b/>
          <w:bCs/>
        </w:rPr>
        <w:t>0</w:t>
      </w:r>
      <w:r>
        <w:t xml:space="preserve"> (S-100 Dataset): the service must respond with the latest summary information for all matching S-125 datasets. The </w:t>
      </w:r>
      <w:proofErr w:type="spellStart"/>
      <w:r>
        <w:rPr>
          <w:b/>
          <w:bCs/>
        </w:rPr>
        <w:t>validFrom</w:t>
      </w:r>
      <w:proofErr w:type="spellEnd"/>
      <w:r>
        <w:t>/</w:t>
      </w:r>
      <w:proofErr w:type="spellStart"/>
      <w:proofErr w:type="gramStart"/>
      <w:r>
        <w:rPr>
          <w:b/>
          <w:bCs/>
        </w:rPr>
        <w:t>validTo</w:t>
      </w:r>
      <w:proofErr w:type="spellEnd"/>
      <w:r>
        <w:t xml:space="preserve"> should</w:t>
      </w:r>
      <w:proofErr w:type="gramEnd"/>
      <w:r>
        <w:t xml:space="preserve"> not be </w:t>
      </w:r>
      <w:proofErr w:type="gramStart"/>
      <w:r>
        <w:t>taken into account</w:t>
      </w:r>
      <w:proofErr w:type="gramEnd"/>
      <w:r>
        <w:t xml:space="preserve">, as the data provider must never return out-of-date information. </w:t>
      </w:r>
      <w:proofErr w:type="gramStart"/>
      <w:r>
        <w:t>If</w:t>
      </w:r>
      <w:proofErr w:type="gramEnd"/>
      <w:r>
        <w:t xml:space="preserve"> however, the specified </w:t>
      </w:r>
      <w:proofErr w:type="spellStart"/>
      <w:r>
        <w:rPr>
          <w:b/>
          <w:bCs/>
        </w:rPr>
        <w:t>dataReference</w:t>
      </w:r>
      <w:proofErr w:type="spellEnd"/>
      <w:r>
        <w:t xml:space="preserve"> UUIDs represent the past state of a valid S-125 dataset (with the same MRN), </w:t>
      </w:r>
      <w:r>
        <w:rPr>
          <w:i/>
          <w:iCs/>
        </w:rPr>
        <w:t>which has not been cancelled yet</w:t>
      </w:r>
      <w:r>
        <w:t>, then the data provider must return the summary information for that exact dataset, once again disregarding</w:t>
      </w:r>
      <w:r>
        <w:t xml:space="preserve"> the </w:t>
      </w:r>
      <w:proofErr w:type="spellStart"/>
      <w:r>
        <w:rPr>
          <w:b/>
          <w:bCs/>
        </w:rPr>
        <w:t>validFrom</w:t>
      </w:r>
      <w:proofErr w:type="spellEnd"/>
      <w:r>
        <w:t>/</w:t>
      </w:r>
      <w:proofErr w:type="spellStart"/>
      <w:r>
        <w:rPr>
          <w:b/>
          <w:bCs/>
        </w:rPr>
        <w:t>validTo</w:t>
      </w:r>
      <w:proofErr w:type="spellEnd"/>
      <w:r>
        <w:t xml:space="preserve"> parameters. </w:t>
      </w:r>
      <w:r>
        <w:rPr>
          <w:i/>
          <w:iCs/>
        </w:rPr>
        <w:t xml:space="preserve">The service must never return summary information regarding S-125 </w:t>
      </w:r>
      <w:r>
        <w:rPr>
          <w:b/>
          <w:bCs/>
          <w:i/>
          <w:iCs/>
        </w:rPr>
        <w:t>delta</w:t>
      </w:r>
      <w:r>
        <w:rPr>
          <w:i/>
          <w:iCs/>
        </w:rPr>
        <w:t xml:space="preserve"> files if the </w:t>
      </w:r>
      <w:proofErr w:type="spellStart"/>
      <w:r>
        <w:rPr>
          <w:i/>
          <w:iCs/>
        </w:rPr>
        <w:t>containterType</w:t>
      </w:r>
      <w:proofErr w:type="spellEnd"/>
      <w:r>
        <w:rPr>
          <w:i/>
          <w:iCs/>
        </w:rPr>
        <w:t xml:space="preserve"> value is set to 0</w:t>
      </w:r>
      <w:r>
        <w:t>.</w:t>
      </w:r>
    </w:p>
    <w:p w14:paraId="6F9C084A" w14:textId="77777777" w:rsidR="00753DEE" w:rsidRDefault="00F02DE0">
      <w:pPr>
        <w:pStyle w:val="Compact"/>
        <w:numPr>
          <w:ilvl w:val="0"/>
          <w:numId w:val="78"/>
        </w:numPr>
      </w:pPr>
      <w:r>
        <w:t xml:space="preserve">For the </w:t>
      </w:r>
      <w:proofErr w:type="spellStart"/>
      <w:r>
        <w:rPr>
          <w:b/>
          <w:bCs/>
        </w:rPr>
        <w:t>containterType</w:t>
      </w:r>
      <w:proofErr w:type="spellEnd"/>
      <w:r>
        <w:t xml:space="preserve"> set to </w:t>
      </w:r>
      <w:r>
        <w:rPr>
          <w:b/>
          <w:bCs/>
        </w:rPr>
        <w:t>1</w:t>
      </w:r>
      <w:r>
        <w:t xml:space="preserve"> (S-100 Exchange-Set): the service must return the dataset summary information using the S-100 Exchange-Set structure. That involves the original content of the S-125 dataset (update 0), along with any incremental updates (for the same dataset MRN) in the form of S-100 </w:t>
      </w:r>
      <w:r>
        <w:rPr>
          <w:b/>
          <w:bCs/>
          <w:i/>
          <w:iCs/>
        </w:rPr>
        <w:t>delta</w:t>
      </w:r>
      <w:r>
        <w:t xml:space="preserve"> files. If the </w:t>
      </w:r>
      <w:proofErr w:type="spellStart"/>
      <w:r>
        <w:rPr>
          <w:b/>
          <w:bCs/>
        </w:rPr>
        <w:t>validFrom</w:t>
      </w:r>
      <w:proofErr w:type="spellEnd"/>
      <w:r>
        <w:t>/</w:t>
      </w:r>
      <w:proofErr w:type="spellStart"/>
      <w:r>
        <w:rPr>
          <w:b/>
          <w:bCs/>
        </w:rPr>
        <w:t>validTo</w:t>
      </w:r>
      <w:proofErr w:type="spellEnd"/>
      <w:r>
        <w:t xml:space="preserve"> parameters are </w:t>
      </w:r>
      <w:proofErr w:type="spellStart"/>
      <w:r>
        <w:t>utilised</w:t>
      </w:r>
      <w:proofErr w:type="spellEnd"/>
      <w:r>
        <w:t>, any of the original content of the S-125 dataset and delta files should only be included in the Exchange-Set, if they fall within the specified time interva</w:t>
      </w:r>
      <w:r>
        <w:t>l.</w:t>
      </w:r>
    </w:p>
    <w:p w14:paraId="4FF6EE9A" w14:textId="77777777" w:rsidR="00753DEE" w:rsidRDefault="00F02DE0">
      <w:pPr>
        <w:pStyle w:val="Heading4"/>
      </w:pPr>
      <w:bookmarkStart w:id="70" w:name="X69a02428acd7efd7a478296c05ad2ccd70480c7"/>
      <w:bookmarkEnd w:id="65"/>
      <w:r>
        <w:t>Operation Parameters</w:t>
      </w:r>
    </w:p>
    <w:p w14:paraId="4F2C5D31" w14:textId="77777777" w:rsidR="00753DEE" w:rsidRDefault="00F02DE0">
      <w:pPr>
        <w:pStyle w:val="TableCaption"/>
      </w:pPr>
      <w:bookmarkStart w:id="71" w:name="_Toc225155438"/>
      <w:bookmarkStart w:id="72" w:name="tbl:get_summary_operation_parameters"/>
      <w:r>
        <w:t>The Get Summary Operation Parameters.</w:t>
      </w:r>
      <w:bookmarkEnd w:id="71"/>
    </w:p>
    <w:tbl>
      <w:tblPr>
        <w:tblStyle w:val="Table"/>
        <w:tblW w:w="5000" w:type="pct"/>
        <w:tblLayout w:type="fixed"/>
        <w:tblLook w:val="0020" w:firstRow="1" w:lastRow="0" w:firstColumn="0" w:lastColumn="0" w:noHBand="0" w:noVBand="0"/>
        <w:tblCaption w:val="The Get Summary Operation Parameters."/>
      </w:tblPr>
      <w:tblGrid>
        <w:gridCol w:w="2548"/>
        <w:gridCol w:w="2549"/>
        <w:gridCol w:w="2549"/>
        <w:gridCol w:w="2549"/>
      </w:tblGrid>
      <w:tr w:rsidR="00753DEE" w14:paraId="29795C36"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73FFF312" w14:textId="77777777" w:rsidR="00753DEE" w:rsidRDefault="00F02DE0">
            <w:pPr>
              <w:pStyle w:val="Compact"/>
            </w:pPr>
            <w:r>
              <w:t>Parameters (in)</w:t>
            </w:r>
          </w:p>
        </w:tc>
        <w:tc>
          <w:tcPr>
            <w:tcW w:w="1980" w:type="dxa"/>
          </w:tcPr>
          <w:p w14:paraId="3D1CE450" w14:textId="77777777" w:rsidR="00753DEE" w:rsidRDefault="00F02DE0">
            <w:pPr>
              <w:pStyle w:val="Compact"/>
            </w:pPr>
            <w:r>
              <w:t>Encoding</w:t>
            </w:r>
          </w:p>
        </w:tc>
        <w:tc>
          <w:tcPr>
            <w:tcW w:w="1980" w:type="dxa"/>
          </w:tcPr>
          <w:p w14:paraId="186FA4C3" w14:textId="77777777" w:rsidR="00753DEE" w:rsidRDefault="00F02DE0">
            <w:pPr>
              <w:pStyle w:val="Compact"/>
            </w:pPr>
            <w:r>
              <w:t>Mult.</w:t>
            </w:r>
          </w:p>
        </w:tc>
        <w:tc>
          <w:tcPr>
            <w:tcW w:w="1980" w:type="dxa"/>
          </w:tcPr>
          <w:p w14:paraId="0E107C33" w14:textId="77777777" w:rsidR="00753DEE" w:rsidRDefault="00F02DE0">
            <w:pPr>
              <w:pStyle w:val="Compact"/>
            </w:pPr>
            <w:r>
              <w:t>Descriptions</w:t>
            </w:r>
          </w:p>
        </w:tc>
      </w:tr>
      <w:tr w:rsidR="00753DEE" w14:paraId="385117A9" w14:textId="77777777">
        <w:tc>
          <w:tcPr>
            <w:tcW w:w="1980" w:type="dxa"/>
          </w:tcPr>
          <w:p w14:paraId="2FD3597C" w14:textId="77777777" w:rsidR="00753DEE" w:rsidRDefault="00F02DE0">
            <w:pPr>
              <w:pStyle w:val="Compact"/>
            </w:pPr>
            <w:proofErr w:type="spellStart"/>
            <w:r>
              <w:t>containerType</w:t>
            </w:r>
            <w:proofErr w:type="spellEnd"/>
          </w:p>
        </w:tc>
        <w:tc>
          <w:tcPr>
            <w:tcW w:w="1980" w:type="dxa"/>
          </w:tcPr>
          <w:p w14:paraId="5A1CCA07" w14:textId="77777777" w:rsidR="00753DEE" w:rsidRDefault="00F02DE0">
            <w:pPr>
              <w:pStyle w:val="Compact"/>
            </w:pPr>
            <w:r>
              <w:t>Integer</w:t>
            </w:r>
          </w:p>
        </w:tc>
        <w:tc>
          <w:tcPr>
            <w:tcW w:w="1980" w:type="dxa"/>
          </w:tcPr>
          <w:p w14:paraId="1D7F6289" w14:textId="77777777" w:rsidR="00753DEE" w:rsidRDefault="00F02DE0">
            <w:pPr>
              <w:pStyle w:val="Compact"/>
            </w:pPr>
            <w:r>
              <w:t>0..1</w:t>
            </w:r>
          </w:p>
        </w:tc>
        <w:tc>
          <w:tcPr>
            <w:tcW w:w="1980" w:type="dxa"/>
          </w:tcPr>
          <w:p w14:paraId="3AF3DC24" w14:textId="77777777" w:rsidR="00753DEE" w:rsidRDefault="00F02DE0">
            <w:pPr>
              <w:pStyle w:val="Compact"/>
            </w:pPr>
            <w:r>
              <w:t>Requested encoding of the data as described in [2]. If not provided, the service provider determines the standard encoding.</w:t>
            </w:r>
          </w:p>
        </w:tc>
      </w:tr>
      <w:tr w:rsidR="00753DEE" w14:paraId="441619C2" w14:textId="77777777">
        <w:tc>
          <w:tcPr>
            <w:tcW w:w="1980" w:type="dxa"/>
          </w:tcPr>
          <w:p w14:paraId="1A058C48" w14:textId="77777777" w:rsidR="00753DEE" w:rsidRDefault="00F02DE0">
            <w:pPr>
              <w:pStyle w:val="Compact"/>
            </w:pPr>
            <w:proofErr w:type="spellStart"/>
            <w:r>
              <w:t>dataProductType</w:t>
            </w:r>
            <w:proofErr w:type="spellEnd"/>
          </w:p>
        </w:tc>
        <w:tc>
          <w:tcPr>
            <w:tcW w:w="1980" w:type="dxa"/>
          </w:tcPr>
          <w:p w14:paraId="61E3707C" w14:textId="77777777" w:rsidR="00753DEE" w:rsidRDefault="00F02DE0">
            <w:pPr>
              <w:pStyle w:val="Compact"/>
            </w:pPr>
            <w:r>
              <w:t>String</w:t>
            </w:r>
          </w:p>
        </w:tc>
        <w:tc>
          <w:tcPr>
            <w:tcW w:w="1980" w:type="dxa"/>
          </w:tcPr>
          <w:p w14:paraId="6D5F2614" w14:textId="77777777" w:rsidR="00753DEE" w:rsidRDefault="00F02DE0">
            <w:pPr>
              <w:pStyle w:val="Compact"/>
            </w:pPr>
            <w:r>
              <w:t>0..1</w:t>
            </w:r>
          </w:p>
        </w:tc>
        <w:tc>
          <w:tcPr>
            <w:tcW w:w="1980" w:type="dxa"/>
          </w:tcPr>
          <w:p w14:paraId="7644AFB8" w14:textId="77777777" w:rsidR="00753DEE" w:rsidRDefault="00F02DE0">
            <w:pPr>
              <w:pStyle w:val="Compact"/>
            </w:pPr>
            <w:r>
              <w:t>Data product type as described in [2].</w:t>
            </w:r>
          </w:p>
        </w:tc>
      </w:tr>
      <w:tr w:rsidR="00753DEE" w14:paraId="3713F8D4" w14:textId="77777777">
        <w:tc>
          <w:tcPr>
            <w:tcW w:w="1980" w:type="dxa"/>
          </w:tcPr>
          <w:p w14:paraId="1EE70151" w14:textId="77777777" w:rsidR="00753DEE" w:rsidRDefault="00F02DE0">
            <w:pPr>
              <w:pStyle w:val="Compact"/>
            </w:pPr>
            <w:proofErr w:type="spellStart"/>
            <w:r>
              <w:t>productVersion</w:t>
            </w:r>
            <w:proofErr w:type="spellEnd"/>
          </w:p>
        </w:tc>
        <w:tc>
          <w:tcPr>
            <w:tcW w:w="1980" w:type="dxa"/>
          </w:tcPr>
          <w:p w14:paraId="1F2A521A" w14:textId="77777777" w:rsidR="00753DEE" w:rsidRDefault="00F02DE0">
            <w:pPr>
              <w:pStyle w:val="Compact"/>
            </w:pPr>
            <w:r>
              <w:t>String</w:t>
            </w:r>
          </w:p>
        </w:tc>
        <w:tc>
          <w:tcPr>
            <w:tcW w:w="1980" w:type="dxa"/>
          </w:tcPr>
          <w:p w14:paraId="359C6279" w14:textId="77777777" w:rsidR="00753DEE" w:rsidRDefault="00F02DE0">
            <w:pPr>
              <w:pStyle w:val="Compact"/>
            </w:pPr>
            <w:r>
              <w:t>0..1</w:t>
            </w:r>
          </w:p>
        </w:tc>
        <w:tc>
          <w:tcPr>
            <w:tcW w:w="1980" w:type="dxa"/>
          </w:tcPr>
          <w:p w14:paraId="4B7A8A2F" w14:textId="77777777" w:rsidR="00753DEE" w:rsidRDefault="00F02DE0">
            <w:pPr>
              <w:pStyle w:val="Compact"/>
            </w:pPr>
            <w:r>
              <w:t>S-100 based Product type version, e.g. 1.0.0.</w:t>
            </w:r>
          </w:p>
        </w:tc>
      </w:tr>
      <w:tr w:rsidR="00753DEE" w14:paraId="01ED113B" w14:textId="77777777">
        <w:tc>
          <w:tcPr>
            <w:tcW w:w="1980" w:type="dxa"/>
          </w:tcPr>
          <w:p w14:paraId="143DA8FF" w14:textId="77777777" w:rsidR="00753DEE" w:rsidRDefault="00F02DE0">
            <w:pPr>
              <w:pStyle w:val="Compact"/>
            </w:pPr>
            <w:r>
              <w:t>geometry</w:t>
            </w:r>
          </w:p>
        </w:tc>
        <w:tc>
          <w:tcPr>
            <w:tcW w:w="1980" w:type="dxa"/>
          </w:tcPr>
          <w:p w14:paraId="1C88F929" w14:textId="77777777" w:rsidR="00753DEE" w:rsidRDefault="00F02DE0">
            <w:pPr>
              <w:pStyle w:val="Compact"/>
            </w:pPr>
            <w:r>
              <w:t>String (WKT)</w:t>
            </w:r>
          </w:p>
        </w:tc>
        <w:tc>
          <w:tcPr>
            <w:tcW w:w="1980" w:type="dxa"/>
          </w:tcPr>
          <w:p w14:paraId="4DCB480D" w14:textId="77777777" w:rsidR="00753DEE" w:rsidRDefault="00F02DE0">
            <w:pPr>
              <w:pStyle w:val="Compact"/>
            </w:pPr>
            <w:r>
              <w:t>0..1</w:t>
            </w:r>
          </w:p>
        </w:tc>
        <w:tc>
          <w:tcPr>
            <w:tcW w:w="1980" w:type="dxa"/>
          </w:tcPr>
          <w:p w14:paraId="0A97F05F" w14:textId="77777777" w:rsidR="00753DEE" w:rsidRDefault="00F02DE0">
            <w:pPr>
              <w:pStyle w:val="Compact"/>
            </w:pPr>
            <w:r>
              <w:t xml:space="preserve">Geometry condition for geo-located information objects in WKT format. This can be used to </w:t>
            </w:r>
            <w:proofErr w:type="gramStart"/>
            <w:r>
              <w:t>filter on</w:t>
            </w:r>
            <w:proofErr w:type="gramEnd"/>
            <w:r>
              <w:t xml:space="preserve"> geometric shapes (e.g., filter S-125 datasets by a bounding box).</w:t>
            </w:r>
          </w:p>
        </w:tc>
      </w:tr>
      <w:tr w:rsidR="00753DEE" w14:paraId="3A5C47FC" w14:textId="77777777">
        <w:tc>
          <w:tcPr>
            <w:tcW w:w="1980" w:type="dxa"/>
          </w:tcPr>
          <w:p w14:paraId="7EBAB80E" w14:textId="77777777" w:rsidR="00753DEE" w:rsidRDefault="00F02DE0">
            <w:pPr>
              <w:pStyle w:val="Compact"/>
            </w:pPr>
            <w:proofErr w:type="spellStart"/>
            <w:r>
              <w:t>unlocode</w:t>
            </w:r>
            <w:proofErr w:type="spellEnd"/>
          </w:p>
        </w:tc>
        <w:tc>
          <w:tcPr>
            <w:tcW w:w="1980" w:type="dxa"/>
          </w:tcPr>
          <w:p w14:paraId="5C33F70F" w14:textId="77777777" w:rsidR="00753DEE" w:rsidRDefault="00F02DE0">
            <w:pPr>
              <w:pStyle w:val="Compact"/>
            </w:pPr>
            <w:r>
              <w:t>String</w:t>
            </w:r>
          </w:p>
        </w:tc>
        <w:tc>
          <w:tcPr>
            <w:tcW w:w="1980" w:type="dxa"/>
          </w:tcPr>
          <w:p w14:paraId="5099E2AC" w14:textId="77777777" w:rsidR="00753DEE" w:rsidRDefault="00F02DE0">
            <w:pPr>
              <w:pStyle w:val="Compact"/>
            </w:pPr>
            <w:r>
              <w:t>0..1</w:t>
            </w:r>
          </w:p>
        </w:tc>
        <w:tc>
          <w:tcPr>
            <w:tcW w:w="1980" w:type="dxa"/>
          </w:tcPr>
          <w:p w14:paraId="3A99D3BA" w14:textId="77777777" w:rsidR="00753DEE" w:rsidRDefault="00F02DE0">
            <w:pPr>
              <w:pStyle w:val="Compact"/>
            </w:pPr>
            <w:r>
              <w:t>UN/LOCODE</w:t>
            </w:r>
          </w:p>
        </w:tc>
      </w:tr>
      <w:tr w:rsidR="00753DEE" w14:paraId="3B8AEAED" w14:textId="77777777">
        <w:tc>
          <w:tcPr>
            <w:tcW w:w="1980" w:type="dxa"/>
          </w:tcPr>
          <w:p w14:paraId="014257FB" w14:textId="77777777" w:rsidR="00753DEE" w:rsidRDefault="00F02DE0">
            <w:pPr>
              <w:pStyle w:val="Compact"/>
            </w:pPr>
            <w:proofErr w:type="spellStart"/>
            <w:r>
              <w:t>validFrom</w:t>
            </w:r>
            <w:proofErr w:type="spellEnd"/>
          </w:p>
        </w:tc>
        <w:tc>
          <w:tcPr>
            <w:tcW w:w="1980" w:type="dxa"/>
          </w:tcPr>
          <w:p w14:paraId="6935EBF5" w14:textId="77777777" w:rsidR="00753DEE" w:rsidRDefault="00F02DE0">
            <w:pPr>
              <w:pStyle w:val="Compact"/>
            </w:pPr>
            <w:proofErr w:type="spellStart"/>
            <w:r>
              <w:t>DateTime</w:t>
            </w:r>
            <w:proofErr w:type="spellEnd"/>
          </w:p>
        </w:tc>
        <w:tc>
          <w:tcPr>
            <w:tcW w:w="1980" w:type="dxa"/>
          </w:tcPr>
          <w:p w14:paraId="54AA038D" w14:textId="77777777" w:rsidR="00753DEE" w:rsidRDefault="00F02DE0">
            <w:pPr>
              <w:pStyle w:val="Compact"/>
            </w:pPr>
            <w:r>
              <w:t>0..1</w:t>
            </w:r>
          </w:p>
        </w:tc>
        <w:tc>
          <w:tcPr>
            <w:tcW w:w="1980" w:type="dxa"/>
          </w:tcPr>
          <w:p w14:paraId="19570C98" w14:textId="77777777" w:rsidR="00753DEE" w:rsidRDefault="00F02DE0">
            <w:pPr>
              <w:pStyle w:val="Compact"/>
            </w:pPr>
            <w:r>
              <w:t xml:space="preserve">Describes the start of the validity time for the requested data in ISO 8601 UTC formatted as </w:t>
            </w:r>
            <w:proofErr w:type="spellStart"/>
            <w:r>
              <w:t>yyyy</w:t>
            </w:r>
            <w:proofErr w:type="spellEnd"/>
            <w:r>
              <w:t xml:space="preserve">-mm-dd </w:t>
            </w:r>
            <w:proofErr w:type="spellStart"/>
            <w:proofErr w:type="gramStart"/>
            <w:r>
              <w:t>hh:mmZ</w:t>
            </w:r>
            <w:proofErr w:type="spellEnd"/>
            <w:proofErr w:type="gramEnd"/>
            <w:r>
              <w:t>.</w:t>
            </w:r>
          </w:p>
        </w:tc>
      </w:tr>
      <w:tr w:rsidR="00753DEE" w14:paraId="6D660088" w14:textId="77777777">
        <w:tc>
          <w:tcPr>
            <w:tcW w:w="1980" w:type="dxa"/>
          </w:tcPr>
          <w:p w14:paraId="5B63596B" w14:textId="77777777" w:rsidR="00753DEE" w:rsidRDefault="00F02DE0">
            <w:pPr>
              <w:pStyle w:val="Compact"/>
            </w:pPr>
            <w:proofErr w:type="spellStart"/>
            <w:r>
              <w:t>validTo</w:t>
            </w:r>
            <w:proofErr w:type="spellEnd"/>
          </w:p>
        </w:tc>
        <w:tc>
          <w:tcPr>
            <w:tcW w:w="1980" w:type="dxa"/>
          </w:tcPr>
          <w:p w14:paraId="0D6A371D" w14:textId="77777777" w:rsidR="00753DEE" w:rsidRDefault="00F02DE0">
            <w:pPr>
              <w:pStyle w:val="Compact"/>
            </w:pPr>
            <w:proofErr w:type="spellStart"/>
            <w:r>
              <w:t>DateTime</w:t>
            </w:r>
            <w:proofErr w:type="spellEnd"/>
          </w:p>
        </w:tc>
        <w:tc>
          <w:tcPr>
            <w:tcW w:w="1980" w:type="dxa"/>
          </w:tcPr>
          <w:p w14:paraId="3ED113D3" w14:textId="77777777" w:rsidR="00753DEE" w:rsidRDefault="00F02DE0">
            <w:pPr>
              <w:pStyle w:val="Compact"/>
            </w:pPr>
            <w:r>
              <w:t>0..1</w:t>
            </w:r>
          </w:p>
        </w:tc>
        <w:tc>
          <w:tcPr>
            <w:tcW w:w="1980" w:type="dxa"/>
          </w:tcPr>
          <w:p w14:paraId="75F259A5" w14:textId="77777777" w:rsidR="00753DEE" w:rsidRDefault="00F02DE0">
            <w:pPr>
              <w:pStyle w:val="Compact"/>
            </w:pPr>
            <w:r>
              <w:t xml:space="preserve">Describes the end of the validity time for the requested data in ISO 8601 UTC formatted as </w:t>
            </w:r>
            <w:proofErr w:type="spellStart"/>
            <w:r>
              <w:t>yyyy</w:t>
            </w:r>
            <w:proofErr w:type="spellEnd"/>
            <w:r>
              <w:t xml:space="preserve">-mm-dd </w:t>
            </w:r>
            <w:proofErr w:type="spellStart"/>
            <w:proofErr w:type="gramStart"/>
            <w:r>
              <w:t>hh:mmZ</w:t>
            </w:r>
            <w:proofErr w:type="spellEnd"/>
            <w:proofErr w:type="gramEnd"/>
            <w:r>
              <w:t>.</w:t>
            </w:r>
          </w:p>
        </w:tc>
      </w:tr>
      <w:tr w:rsidR="00753DEE" w14:paraId="13CAE999" w14:textId="77777777">
        <w:tc>
          <w:tcPr>
            <w:tcW w:w="1980" w:type="dxa"/>
          </w:tcPr>
          <w:p w14:paraId="7D2F4954" w14:textId="77777777" w:rsidR="00753DEE" w:rsidRDefault="00F02DE0">
            <w:pPr>
              <w:pStyle w:val="Compact"/>
            </w:pPr>
            <w:r>
              <w:t>page</w:t>
            </w:r>
          </w:p>
        </w:tc>
        <w:tc>
          <w:tcPr>
            <w:tcW w:w="1980" w:type="dxa"/>
          </w:tcPr>
          <w:p w14:paraId="1A1D1953" w14:textId="77777777" w:rsidR="00753DEE" w:rsidRDefault="00F02DE0">
            <w:pPr>
              <w:pStyle w:val="Compact"/>
            </w:pPr>
            <w:r>
              <w:t>Integer</w:t>
            </w:r>
          </w:p>
        </w:tc>
        <w:tc>
          <w:tcPr>
            <w:tcW w:w="1980" w:type="dxa"/>
          </w:tcPr>
          <w:p w14:paraId="696137BA" w14:textId="77777777" w:rsidR="00753DEE" w:rsidRDefault="00F02DE0">
            <w:pPr>
              <w:pStyle w:val="Compact"/>
            </w:pPr>
            <w:r>
              <w:t>0..1</w:t>
            </w:r>
          </w:p>
        </w:tc>
        <w:tc>
          <w:tcPr>
            <w:tcW w:w="1980" w:type="dxa"/>
          </w:tcPr>
          <w:p w14:paraId="51A3CBB6" w14:textId="77777777" w:rsidR="00753DEE" w:rsidRDefault="00F02DE0">
            <w:pPr>
              <w:pStyle w:val="Compact"/>
            </w:pPr>
            <w:r>
              <w:t>The number of the page for retrieving paged results. If not provided, the default value of this parameter is set to zero (0).</w:t>
            </w:r>
          </w:p>
        </w:tc>
      </w:tr>
      <w:tr w:rsidR="00753DEE" w14:paraId="142D2648" w14:textId="77777777">
        <w:tc>
          <w:tcPr>
            <w:tcW w:w="1980" w:type="dxa"/>
          </w:tcPr>
          <w:p w14:paraId="6A705C4F" w14:textId="77777777" w:rsidR="00753DEE" w:rsidRDefault="00F02DE0">
            <w:pPr>
              <w:pStyle w:val="Compact"/>
            </w:pPr>
            <w:proofErr w:type="spellStart"/>
            <w:r>
              <w:t>pageSize</w:t>
            </w:r>
            <w:proofErr w:type="spellEnd"/>
          </w:p>
        </w:tc>
        <w:tc>
          <w:tcPr>
            <w:tcW w:w="1980" w:type="dxa"/>
          </w:tcPr>
          <w:p w14:paraId="739238B5" w14:textId="77777777" w:rsidR="00753DEE" w:rsidRDefault="00F02DE0">
            <w:pPr>
              <w:pStyle w:val="Compact"/>
            </w:pPr>
            <w:r>
              <w:t>Integer</w:t>
            </w:r>
          </w:p>
        </w:tc>
        <w:tc>
          <w:tcPr>
            <w:tcW w:w="1980" w:type="dxa"/>
          </w:tcPr>
          <w:p w14:paraId="4B967B2E" w14:textId="77777777" w:rsidR="00753DEE" w:rsidRDefault="00F02DE0">
            <w:pPr>
              <w:pStyle w:val="Compact"/>
            </w:pPr>
            <w:r>
              <w:t>0..1</w:t>
            </w:r>
          </w:p>
        </w:tc>
        <w:tc>
          <w:tcPr>
            <w:tcW w:w="1980" w:type="dxa"/>
          </w:tcPr>
          <w:p w14:paraId="67005E43" w14:textId="77777777" w:rsidR="00753DEE" w:rsidRDefault="00F02DE0">
            <w:pPr>
              <w:pStyle w:val="Compact"/>
            </w:pPr>
            <w:r>
              <w:t xml:space="preserve">The size of each page in a paged result. If not </w:t>
            </w:r>
            <w:r>
              <w:lastRenderedPageBreak/>
              <w:t xml:space="preserve">provided, the default value of this parameter is not </w:t>
            </w:r>
            <w:proofErr w:type="gramStart"/>
            <w:r>
              <w:t>set</w:t>
            </w:r>
            <w:proofErr w:type="gramEnd"/>
            <w:r>
              <w:t xml:space="preserve"> and the resulting S-125 datasets are not paged.</w:t>
            </w:r>
          </w:p>
        </w:tc>
      </w:tr>
    </w:tbl>
    <w:p w14:paraId="232247E3" w14:textId="77777777" w:rsidR="00753DEE" w:rsidRDefault="00F02DE0">
      <w:pPr>
        <w:pStyle w:val="Heading4"/>
      </w:pPr>
      <w:bookmarkStart w:id="73" w:name="X64bd30816f47b9ad84fceb7eb97abff00be0687"/>
      <w:bookmarkEnd w:id="66"/>
      <w:bookmarkEnd w:id="68"/>
      <w:r>
        <w:lastRenderedPageBreak/>
        <w:t>Interpretation Guidelines</w:t>
      </w:r>
    </w:p>
    <w:p w14:paraId="752C9DFD" w14:textId="77777777" w:rsidR="00753DEE" w:rsidRDefault="00F02DE0">
      <w:pPr>
        <w:pStyle w:val="FirstParagraph"/>
      </w:pPr>
      <w:r>
        <w:t xml:space="preserve">In the response, the </w:t>
      </w:r>
      <w:proofErr w:type="spellStart"/>
      <w:r>
        <w:rPr>
          <w:b/>
          <w:bCs/>
        </w:rPr>
        <w:t>dataReference</w:t>
      </w:r>
      <w:proofErr w:type="spellEnd"/>
      <w:r>
        <w:t xml:space="preserve"> is given as a UUID for each data object listed. The </w:t>
      </w:r>
      <w:proofErr w:type="spellStart"/>
      <w:r>
        <w:rPr>
          <w:rStyle w:val="VerbatimChar"/>
        </w:rPr>
        <w:t>dataReference</w:t>
      </w:r>
      <w:proofErr w:type="spellEnd"/>
      <w:r>
        <w:t xml:space="preserve"> can then be provided as input to a Get call.</w:t>
      </w:r>
    </w:p>
    <w:p w14:paraId="4BB5DA89" w14:textId="77777777" w:rsidR="00753DEE" w:rsidRDefault="00F02DE0">
      <w:pPr>
        <w:pStyle w:val="BodyText"/>
      </w:pPr>
      <w:r>
        <w:t xml:space="preserve">The </w:t>
      </w:r>
      <w:proofErr w:type="spellStart"/>
      <w:r>
        <w:rPr>
          <w:b/>
          <w:bCs/>
        </w:rPr>
        <w:t>dataProtection</w:t>
      </w:r>
      <w:proofErr w:type="spellEnd"/>
      <w:r>
        <w:t xml:space="preserve"> flag indicates whether the data is encrypted or not. If encrypted, an </w:t>
      </w:r>
      <w:proofErr w:type="spellStart"/>
      <w:r>
        <w:t>encryptionKey</w:t>
      </w:r>
      <w:proofErr w:type="spellEnd"/>
      <w:r>
        <w:t xml:space="preserve"> is required to decrypt the data.</w:t>
      </w:r>
    </w:p>
    <w:p w14:paraId="1A8D9BB4" w14:textId="77777777" w:rsidR="00753DEE" w:rsidRDefault="00F02DE0">
      <w:pPr>
        <w:pStyle w:val="BodyText"/>
      </w:pPr>
      <w:r>
        <w:t xml:space="preserve">The </w:t>
      </w:r>
      <w:r>
        <w:rPr>
          <w:b/>
          <w:bCs/>
        </w:rPr>
        <w:t>compression</w:t>
      </w:r>
      <w:r>
        <w:t xml:space="preserve"> flag indicates whether the data is compressed with ZIP or not.</w:t>
      </w:r>
    </w:p>
    <w:p w14:paraId="459B0B60" w14:textId="77777777" w:rsidR="00753DEE" w:rsidRDefault="00F02DE0">
      <w:pPr>
        <w:pStyle w:val="BodyText"/>
      </w:pPr>
      <w:r>
        <w:t xml:space="preserve">The </w:t>
      </w:r>
      <w:proofErr w:type="spellStart"/>
      <w:r>
        <w:rPr>
          <w:b/>
          <w:bCs/>
        </w:rPr>
        <w:t>dataProductType</w:t>
      </w:r>
      <w:proofErr w:type="spellEnd"/>
      <w:r>
        <w:t xml:space="preserve"> and </w:t>
      </w:r>
      <w:proofErr w:type="spellStart"/>
      <w:r>
        <w:rPr>
          <w:b/>
          <w:bCs/>
        </w:rPr>
        <w:t>productVersion</w:t>
      </w:r>
      <w:proofErr w:type="spellEnd"/>
      <w:r>
        <w:t xml:space="preserve"> indicate type and version of the data specification for the data object. </w:t>
      </w:r>
      <w:proofErr w:type="gramStart"/>
      <w:r>
        <w:t>For the purpose of</w:t>
      </w:r>
      <w:proofErr w:type="gramEnd"/>
      <w:r>
        <w:t xml:space="preserve"> this service design, the data product type must always be “S-125” as per the format specified in S-100 [8].</w:t>
      </w:r>
    </w:p>
    <w:p w14:paraId="68104A8C" w14:textId="77777777" w:rsidR="00753DEE" w:rsidRDefault="00F02DE0">
      <w:pPr>
        <w:pStyle w:val="BodyText"/>
      </w:pPr>
      <w:r>
        <w:t xml:space="preserve">The </w:t>
      </w:r>
      <w:proofErr w:type="spellStart"/>
      <w:r>
        <w:rPr>
          <w:b/>
          <w:bCs/>
        </w:rPr>
        <w:t>info_identifier</w:t>
      </w:r>
      <w:proofErr w:type="spellEnd"/>
      <w:r>
        <w:t xml:space="preserve">, </w:t>
      </w:r>
      <w:proofErr w:type="spellStart"/>
      <w:r>
        <w:rPr>
          <w:b/>
          <w:bCs/>
        </w:rPr>
        <w:t>info_name</w:t>
      </w:r>
      <w:proofErr w:type="spellEnd"/>
      <w:r>
        <w:t xml:space="preserve">, </w:t>
      </w:r>
      <w:proofErr w:type="spellStart"/>
      <w:r>
        <w:rPr>
          <w:b/>
          <w:bCs/>
        </w:rPr>
        <w:t>info_status</w:t>
      </w:r>
      <w:proofErr w:type="spellEnd"/>
      <w:r>
        <w:t xml:space="preserve">, </w:t>
      </w:r>
      <w:proofErr w:type="spellStart"/>
      <w:r>
        <w:rPr>
          <w:b/>
          <w:bCs/>
        </w:rPr>
        <w:t>info_description</w:t>
      </w:r>
      <w:proofErr w:type="spellEnd"/>
      <w:r>
        <w:t xml:space="preserve">, and </w:t>
      </w:r>
      <w:proofErr w:type="spellStart"/>
      <w:r>
        <w:rPr>
          <w:b/>
          <w:bCs/>
        </w:rPr>
        <w:t>info_lastModifiedData</w:t>
      </w:r>
      <w:proofErr w:type="spellEnd"/>
      <w:r>
        <w:t xml:space="preserve"> are describing each matching S-125 dataset.</w:t>
      </w:r>
    </w:p>
    <w:p w14:paraId="5408D38B" w14:textId="77777777" w:rsidR="00753DEE" w:rsidRDefault="00F02DE0">
      <w:pPr>
        <w:pStyle w:val="BodyText"/>
      </w:pPr>
      <w:r>
        <w:t xml:space="preserve">The </w:t>
      </w:r>
      <w:proofErr w:type="spellStart"/>
      <w:r>
        <w:rPr>
          <w:b/>
          <w:bCs/>
        </w:rPr>
        <w:t>info_size</w:t>
      </w:r>
      <w:proofErr w:type="spellEnd"/>
      <w:r>
        <w:t xml:space="preserve"> represents the file size of the S-125 dataset, as returned by Get data. The size does not include the envelope.</w:t>
      </w:r>
    </w:p>
    <w:p w14:paraId="71A870E8" w14:textId="77777777" w:rsidR="00753DEE" w:rsidRDefault="00F02DE0">
      <w:pPr>
        <w:pStyle w:val="BodyText"/>
      </w:pPr>
      <w:r>
        <w:t xml:space="preserve">The </w:t>
      </w:r>
      <w:proofErr w:type="spellStart"/>
      <w:r>
        <w:rPr>
          <w:b/>
          <w:bCs/>
        </w:rPr>
        <w:t>validFrom</w:t>
      </w:r>
      <w:proofErr w:type="spellEnd"/>
      <w:r>
        <w:t>/</w:t>
      </w:r>
      <w:proofErr w:type="spellStart"/>
      <w:r>
        <w:rPr>
          <w:b/>
          <w:bCs/>
        </w:rPr>
        <w:t>validTo</w:t>
      </w:r>
      <w:proofErr w:type="spellEnd"/>
      <w:r>
        <w:t xml:space="preserve"> describes the requested validity time for the requested data in ISO 8601 UTC formatted as </w:t>
      </w:r>
      <w:proofErr w:type="spellStart"/>
      <w:r>
        <w:t>yyyy</w:t>
      </w:r>
      <w:proofErr w:type="spellEnd"/>
      <w:r>
        <w:t xml:space="preserve">-mm-dd </w:t>
      </w:r>
      <w:proofErr w:type="spellStart"/>
      <w:r>
        <w:t>hh:</w:t>
      </w:r>
      <w:proofErr w:type="gramStart"/>
      <w:r>
        <w:t>mm:ssZ</w:t>
      </w:r>
      <w:proofErr w:type="spellEnd"/>
      <w:proofErr w:type="gramEnd"/>
      <w:r>
        <w:t>.</w:t>
      </w:r>
    </w:p>
    <w:p w14:paraId="66006652" w14:textId="77777777" w:rsidR="00753DEE" w:rsidRDefault="00F02DE0">
      <w:pPr>
        <w:pStyle w:val="Heading3"/>
      </w:pPr>
      <w:bookmarkStart w:id="74" w:name="_Toc225155479"/>
      <w:bookmarkStart w:id="75" w:name="X1d923dedd09966d66dce58800ed740663f8e240"/>
      <w:bookmarkEnd w:id="69"/>
      <w:bookmarkEnd w:id="70"/>
      <w:r>
        <w:t>Operation Subscription</w:t>
      </w:r>
      <w:bookmarkEnd w:id="74"/>
    </w:p>
    <w:p w14:paraId="38624350" w14:textId="77777777" w:rsidR="00753DEE" w:rsidRDefault="00F02DE0">
      <w:pPr>
        <w:pStyle w:val="FirstParagraph"/>
      </w:pPr>
      <w:r>
        <w:t xml:space="preserve">The purpose of the </w:t>
      </w:r>
      <w:r>
        <w:rPr>
          <w:i/>
          <w:iCs/>
        </w:rPr>
        <w:t>Subscription</w:t>
      </w:r>
      <w:r>
        <w:t xml:space="preserve"> operation is for service consumers to request a new or cancel an existing subscription on </w:t>
      </w:r>
      <w:proofErr w:type="spellStart"/>
      <w:r>
        <w:t>AtoN</w:t>
      </w:r>
      <w:proofErr w:type="spellEnd"/>
      <w:r>
        <w:t xml:space="preserve"> information. Subscriptions are made either on specific parameters, otherwise these are decided by the data provider.</w:t>
      </w:r>
    </w:p>
    <w:p w14:paraId="2CBD20A4" w14:textId="77777777" w:rsidR="00753DEE" w:rsidRDefault="00F02DE0">
      <w:pPr>
        <w:pStyle w:val="BodyText"/>
      </w:pPr>
      <w:r>
        <w:t>The Subscription operation interface must be implemented only by the data provider.</w:t>
      </w:r>
    </w:p>
    <w:p w14:paraId="6E99FF7A" w14:textId="77777777" w:rsidR="00753DEE" w:rsidRDefault="00F02DE0">
      <w:pPr>
        <w:pStyle w:val="BodyText"/>
      </w:pPr>
      <w:r>
        <w:t>Use of the interface is according to the SECOM specification.</w:t>
      </w:r>
    </w:p>
    <w:p w14:paraId="24EAEB99" w14:textId="77777777" w:rsidR="00753DEE" w:rsidRDefault="00F02DE0">
      <w:pPr>
        <w:pStyle w:val="Compact"/>
        <w:numPr>
          <w:ilvl w:val="0"/>
          <w:numId w:val="79"/>
        </w:numPr>
      </w:pPr>
      <w:r>
        <w:t>Name: Subscription Interface</w:t>
      </w:r>
    </w:p>
    <w:p w14:paraId="635D2538" w14:textId="77777777" w:rsidR="00753DEE" w:rsidRDefault="00F02DE0">
      <w:pPr>
        <w:pStyle w:val="Compact"/>
        <w:numPr>
          <w:ilvl w:val="0"/>
          <w:numId w:val="79"/>
        </w:numPr>
      </w:pPr>
      <w:r>
        <w:t>Sub-path: /v2/subscription</w:t>
      </w:r>
    </w:p>
    <w:p w14:paraId="0769D0FB" w14:textId="77777777" w:rsidR="00753DEE" w:rsidRDefault="00F02DE0">
      <w:pPr>
        <w:pStyle w:val="Compact"/>
        <w:numPr>
          <w:ilvl w:val="0"/>
          <w:numId w:val="79"/>
        </w:numPr>
      </w:pPr>
      <w:r>
        <w:t>HTTP-Method: POST</w:t>
      </w:r>
    </w:p>
    <w:p w14:paraId="0182D56D" w14:textId="77777777" w:rsidR="00753DEE" w:rsidRDefault="00F02DE0">
      <w:pPr>
        <w:pStyle w:val="Compact"/>
        <w:numPr>
          <w:ilvl w:val="0"/>
          <w:numId w:val="79"/>
        </w:numPr>
      </w:pPr>
      <w:r>
        <w:t>Cookies: Session-Cookies (optional)</w:t>
      </w:r>
    </w:p>
    <w:p w14:paraId="13425878" w14:textId="77777777" w:rsidR="00753DEE" w:rsidRDefault="00F02DE0">
      <w:pPr>
        <w:pStyle w:val="Compact"/>
        <w:numPr>
          <w:ilvl w:val="0"/>
          <w:numId w:val="79"/>
        </w:numPr>
      </w:pPr>
      <w:r>
        <w:t>Content-Type: application/</w:t>
      </w:r>
      <w:proofErr w:type="spellStart"/>
      <w:r>
        <w:t>json</w:t>
      </w:r>
      <w:proofErr w:type="spellEnd"/>
    </w:p>
    <w:p w14:paraId="7348AAF7" w14:textId="77777777" w:rsidR="00753DEE" w:rsidRDefault="00F02DE0">
      <w:pPr>
        <w:pStyle w:val="Heading4"/>
      </w:pPr>
      <w:bookmarkStart w:id="76" w:name="Xc6b95f6910b2da4e91a5b814131d7fc61e9299e"/>
      <w:r>
        <w:t>Operation Functionality</w:t>
      </w:r>
    </w:p>
    <w:p w14:paraId="45D3B3FD" w14:textId="77777777" w:rsidR="00753DEE" w:rsidRDefault="00F02DE0">
      <w:pPr>
        <w:pStyle w:val="FirstParagraph"/>
      </w:pPr>
      <w:r>
        <w:t xml:space="preserve">In SECOM, the data provider may then use the URL available in the </w:t>
      </w:r>
      <w:r>
        <w:rPr>
          <w:rStyle w:val="VerbatimChar"/>
        </w:rPr>
        <w:t>&lt;</w:t>
      </w:r>
      <w:proofErr w:type="spellStart"/>
      <w:r>
        <w:rPr>
          <w:rStyle w:val="VerbatimChar"/>
        </w:rPr>
        <w:t>callbackEndpoint</w:t>
      </w:r>
      <w:proofErr w:type="spellEnd"/>
      <w:r>
        <w:rPr>
          <w:rStyle w:val="VerbatimChar"/>
        </w:rPr>
        <w:t>&gt;</w:t>
      </w:r>
      <w:r>
        <w:t xml:space="preserve"> parameter to contact the data consumer directly and send any available subscription updates. In the absence of a valid callback endpoint value, the data provider may discover the consumer’s URL utilising an appropriate Service Registry (e.g. MSR). The data consumer can be identified through its MRN, contained in the HTTPS request certificate provided during the TLS/SSL authentication step. This workaround is compatible with the specifications of SECOM v1.0 and allows the service to identify the data consum</w:t>
      </w:r>
      <w:r>
        <w:t>er and locate its uploading interface. More information on the dynamic behaviour of the subscription operation and its relation to the SECOM-compliant service registry is provided in Section 7.3.</w:t>
      </w:r>
    </w:p>
    <w:p w14:paraId="65ACC281" w14:textId="77777777" w:rsidR="00753DEE" w:rsidRDefault="00F02DE0">
      <w:pPr>
        <w:pStyle w:val="BodyText"/>
      </w:pPr>
      <w:r>
        <w:t>The service needs to keep track of the following operations:</w:t>
      </w:r>
    </w:p>
    <w:p w14:paraId="2FAEC7A6" w14:textId="77777777" w:rsidR="00753DEE" w:rsidRDefault="00F02DE0">
      <w:pPr>
        <w:pStyle w:val="Compact"/>
        <w:numPr>
          <w:ilvl w:val="0"/>
          <w:numId w:val="80"/>
        </w:numPr>
      </w:pPr>
      <w:r>
        <w:t>New subscriptions</w:t>
      </w:r>
    </w:p>
    <w:p w14:paraId="5F2DFDA6" w14:textId="77777777" w:rsidR="00753DEE" w:rsidRDefault="00F02DE0">
      <w:pPr>
        <w:pStyle w:val="Compact"/>
        <w:numPr>
          <w:ilvl w:val="0"/>
          <w:numId w:val="80"/>
        </w:numPr>
      </w:pPr>
      <w:r>
        <w:t>Changes between two points in time (S-125 delta files)</w:t>
      </w:r>
    </w:p>
    <w:p w14:paraId="0268BB0D" w14:textId="77777777" w:rsidR="00753DEE" w:rsidRDefault="00F02DE0">
      <w:pPr>
        <w:pStyle w:val="Compact"/>
        <w:numPr>
          <w:ilvl w:val="0"/>
          <w:numId w:val="80"/>
        </w:numPr>
      </w:pPr>
      <w:r>
        <w:t>Cancellation of datasets</w:t>
      </w:r>
    </w:p>
    <w:p w14:paraId="06DC8ADD" w14:textId="77777777" w:rsidR="00753DEE" w:rsidRDefault="00F02DE0">
      <w:pPr>
        <w:pStyle w:val="FirstParagraph"/>
      </w:pPr>
      <w:r>
        <w:lastRenderedPageBreak/>
        <w:t>Once the subscription request is received and processed successfully, the service will create a new subscription record for the respective client and return a unique UUID identifier for that record. The response containing with the generated are presented in the example service response.</w:t>
      </w:r>
    </w:p>
    <w:p w14:paraId="55C7E90C" w14:textId="77777777" w:rsidR="00753DEE" w:rsidRDefault="00F02DE0">
      <w:pPr>
        <w:pStyle w:val="BodyText"/>
      </w:pPr>
      <w:r>
        <w:t xml:space="preserve">A subscription can be cancelled through the </w:t>
      </w:r>
      <w:r>
        <w:rPr>
          <w:i/>
          <w:iCs/>
        </w:rPr>
        <w:t>Remove Subscription</w:t>
      </w:r>
      <w:r>
        <w:t xml:space="preserve"> operation. More information can be found in Section 6.2.5.</w:t>
      </w:r>
    </w:p>
    <w:p w14:paraId="71445AFF" w14:textId="77777777" w:rsidR="00753DEE" w:rsidRDefault="00F02DE0">
      <w:pPr>
        <w:pStyle w:val="BodyText"/>
      </w:pPr>
      <w:r>
        <w:t>The operation interface consumes the following consumer interfaces:</w:t>
      </w:r>
    </w:p>
    <w:p w14:paraId="6663DDE6" w14:textId="77777777" w:rsidR="00753DEE" w:rsidRDefault="00F02DE0">
      <w:pPr>
        <w:pStyle w:val="Compact"/>
        <w:numPr>
          <w:ilvl w:val="0"/>
          <w:numId w:val="81"/>
        </w:numPr>
      </w:pPr>
      <w:r>
        <w:t>Upload</w:t>
      </w:r>
    </w:p>
    <w:p w14:paraId="2044A4BC" w14:textId="77777777" w:rsidR="00753DEE" w:rsidRDefault="00F02DE0">
      <w:pPr>
        <w:pStyle w:val="Compact"/>
        <w:numPr>
          <w:ilvl w:val="0"/>
          <w:numId w:val="81"/>
        </w:numPr>
      </w:pPr>
      <w:r>
        <w:t>Subscription Notification</w:t>
      </w:r>
    </w:p>
    <w:p w14:paraId="04709485" w14:textId="77777777" w:rsidR="00753DEE" w:rsidRDefault="00F02DE0">
      <w:pPr>
        <w:pStyle w:val="FirstParagraph"/>
      </w:pPr>
      <w:r>
        <w:t>The Upload consumer interface can be used by the data provider to push new and/or updated S-125 datasets to the subscribed service consumer. The Subscription Notification consumer interface on the other hand, is used to inform the consumer that on the status of the subscription, i.e., when it has been successfully activated or removed. More information on this operation can be found in Section 7.2. Note that for each new subscription, a Subscription Identifier should be made available to the consumer though</w:t>
      </w:r>
      <w:r>
        <w:t xml:space="preserve"> the interface’s response.</w:t>
      </w:r>
    </w:p>
    <w:p w14:paraId="6DFE6C15" w14:textId="77777777" w:rsidR="00753DEE" w:rsidRDefault="00F02DE0">
      <w:pPr>
        <w:pStyle w:val="BodyText"/>
      </w:pPr>
      <w:r>
        <w:t>The operation supports multiple filter parameters, presented in more detail in Table 5. To ensure the authenticity of the operation request, the filter parameters are included within a signed SECOM envelope structure. Data provider instances are required to support all referenced filter parameters.</w:t>
      </w:r>
    </w:p>
    <w:p w14:paraId="5485638E" w14:textId="77777777" w:rsidR="00753DEE" w:rsidRDefault="00F02DE0">
      <w:pPr>
        <w:pStyle w:val="BodyText"/>
      </w:pPr>
      <w:r>
        <w:t xml:space="preserve">All criteria for the subscription are optional. If none are provided, all authorized data from the data provider will be included in the subscription. If more than one </w:t>
      </w:r>
      <w:proofErr w:type="gramStart"/>
      <w:r>
        <w:t>criteria</w:t>
      </w:r>
      <w:proofErr w:type="gramEnd"/>
      <w:r>
        <w:t xml:space="preserve"> is provided, these must be combined with a logical AND, hence all criteria must be met.</w:t>
      </w:r>
    </w:p>
    <w:p w14:paraId="1C49173B" w14:textId="77777777" w:rsidR="00753DEE" w:rsidRDefault="00F02DE0">
      <w:pPr>
        <w:pStyle w:val="Heading4"/>
      </w:pPr>
      <w:bookmarkStart w:id="77" w:name="X08f1b0bb3749608ff4a1f93d590dae1ddb630bc"/>
      <w:bookmarkEnd w:id="72"/>
      <w:r>
        <w:t>Operation Parameters</w:t>
      </w:r>
    </w:p>
    <w:p w14:paraId="3B0CE157" w14:textId="77777777" w:rsidR="00753DEE" w:rsidRDefault="00F02DE0">
      <w:pPr>
        <w:pStyle w:val="TableCaption"/>
      </w:pPr>
      <w:bookmarkStart w:id="78" w:name="_Toc225155439"/>
      <w:bookmarkStart w:id="79" w:name="X81f2aa06f98cb52414e78ae024feabb8f7784d6"/>
      <w:r>
        <w:t>The Subscription Operation Parameters.</w:t>
      </w:r>
      <w:bookmarkEnd w:id="78"/>
    </w:p>
    <w:tbl>
      <w:tblPr>
        <w:tblStyle w:val="Table"/>
        <w:tblW w:w="5000" w:type="pct"/>
        <w:tblLayout w:type="fixed"/>
        <w:tblLook w:val="0020" w:firstRow="1" w:lastRow="0" w:firstColumn="0" w:lastColumn="0" w:noHBand="0" w:noVBand="0"/>
        <w:tblCaption w:val="The Subscription Operation Parameters."/>
      </w:tblPr>
      <w:tblGrid>
        <w:gridCol w:w="2548"/>
        <w:gridCol w:w="2549"/>
        <w:gridCol w:w="2549"/>
        <w:gridCol w:w="2549"/>
      </w:tblGrid>
      <w:tr w:rsidR="00753DEE" w14:paraId="2E23F86C"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782D9534" w14:textId="77777777" w:rsidR="00753DEE" w:rsidRDefault="00F02DE0">
            <w:pPr>
              <w:pStyle w:val="Compact"/>
            </w:pPr>
            <w:r>
              <w:t>Parameters (in)</w:t>
            </w:r>
          </w:p>
        </w:tc>
        <w:tc>
          <w:tcPr>
            <w:tcW w:w="1980" w:type="dxa"/>
          </w:tcPr>
          <w:p w14:paraId="07C1DA7D" w14:textId="77777777" w:rsidR="00753DEE" w:rsidRDefault="00F02DE0">
            <w:pPr>
              <w:pStyle w:val="Compact"/>
            </w:pPr>
            <w:r>
              <w:t>Encoding</w:t>
            </w:r>
          </w:p>
        </w:tc>
        <w:tc>
          <w:tcPr>
            <w:tcW w:w="1980" w:type="dxa"/>
          </w:tcPr>
          <w:p w14:paraId="32E7A4C9" w14:textId="77777777" w:rsidR="00753DEE" w:rsidRDefault="00F02DE0">
            <w:pPr>
              <w:pStyle w:val="Compact"/>
            </w:pPr>
            <w:r>
              <w:t>Mult.</w:t>
            </w:r>
          </w:p>
        </w:tc>
        <w:tc>
          <w:tcPr>
            <w:tcW w:w="1980" w:type="dxa"/>
          </w:tcPr>
          <w:p w14:paraId="7BA96F69" w14:textId="77777777" w:rsidR="00753DEE" w:rsidRDefault="00F02DE0">
            <w:pPr>
              <w:pStyle w:val="Compact"/>
            </w:pPr>
            <w:r>
              <w:t>Descriptions</w:t>
            </w:r>
          </w:p>
        </w:tc>
      </w:tr>
      <w:tr w:rsidR="00753DEE" w14:paraId="13E66466" w14:textId="77777777">
        <w:tc>
          <w:tcPr>
            <w:tcW w:w="1980" w:type="dxa"/>
          </w:tcPr>
          <w:p w14:paraId="34FE02A7" w14:textId="77777777" w:rsidR="00753DEE" w:rsidRDefault="00F02DE0">
            <w:pPr>
              <w:pStyle w:val="Compact"/>
            </w:pPr>
            <w:proofErr w:type="spellStart"/>
            <w:r>
              <w:t>containerType</w:t>
            </w:r>
            <w:proofErr w:type="spellEnd"/>
          </w:p>
        </w:tc>
        <w:tc>
          <w:tcPr>
            <w:tcW w:w="1980" w:type="dxa"/>
          </w:tcPr>
          <w:p w14:paraId="0FB89C15" w14:textId="77777777" w:rsidR="00753DEE" w:rsidRDefault="00F02DE0">
            <w:pPr>
              <w:pStyle w:val="Compact"/>
            </w:pPr>
            <w:r>
              <w:t>Integer</w:t>
            </w:r>
          </w:p>
        </w:tc>
        <w:tc>
          <w:tcPr>
            <w:tcW w:w="1980" w:type="dxa"/>
          </w:tcPr>
          <w:p w14:paraId="38489C2F" w14:textId="77777777" w:rsidR="00753DEE" w:rsidRDefault="00F02DE0">
            <w:pPr>
              <w:pStyle w:val="Compact"/>
            </w:pPr>
            <w:r>
              <w:t>0..1</w:t>
            </w:r>
          </w:p>
        </w:tc>
        <w:tc>
          <w:tcPr>
            <w:tcW w:w="1980" w:type="dxa"/>
          </w:tcPr>
          <w:p w14:paraId="549C86A6" w14:textId="77777777" w:rsidR="00753DEE" w:rsidRDefault="00F02DE0">
            <w:pPr>
              <w:pStyle w:val="Compact"/>
            </w:pPr>
            <w:r>
              <w:t>Requested encoding of the data as described in [2]. If not provided, the service provider determines the standard encoding.</w:t>
            </w:r>
          </w:p>
        </w:tc>
      </w:tr>
      <w:tr w:rsidR="00753DEE" w14:paraId="085839AE" w14:textId="77777777">
        <w:tc>
          <w:tcPr>
            <w:tcW w:w="1980" w:type="dxa"/>
          </w:tcPr>
          <w:p w14:paraId="08A66B95" w14:textId="77777777" w:rsidR="00753DEE" w:rsidRDefault="00F02DE0">
            <w:pPr>
              <w:pStyle w:val="Compact"/>
            </w:pPr>
            <w:proofErr w:type="spellStart"/>
            <w:r>
              <w:t>dataProductType</w:t>
            </w:r>
            <w:proofErr w:type="spellEnd"/>
          </w:p>
        </w:tc>
        <w:tc>
          <w:tcPr>
            <w:tcW w:w="1980" w:type="dxa"/>
          </w:tcPr>
          <w:p w14:paraId="7379F463" w14:textId="77777777" w:rsidR="00753DEE" w:rsidRDefault="00F02DE0">
            <w:pPr>
              <w:pStyle w:val="Compact"/>
            </w:pPr>
            <w:r>
              <w:t>String</w:t>
            </w:r>
          </w:p>
        </w:tc>
        <w:tc>
          <w:tcPr>
            <w:tcW w:w="1980" w:type="dxa"/>
          </w:tcPr>
          <w:p w14:paraId="28A18230" w14:textId="77777777" w:rsidR="00753DEE" w:rsidRDefault="00F02DE0">
            <w:pPr>
              <w:pStyle w:val="Compact"/>
            </w:pPr>
            <w:r>
              <w:t>0..1</w:t>
            </w:r>
          </w:p>
        </w:tc>
        <w:tc>
          <w:tcPr>
            <w:tcW w:w="1980" w:type="dxa"/>
          </w:tcPr>
          <w:p w14:paraId="570C279B" w14:textId="77777777" w:rsidR="00753DEE" w:rsidRDefault="00F02DE0">
            <w:pPr>
              <w:pStyle w:val="Compact"/>
            </w:pPr>
            <w:r>
              <w:t>Data product type as described in [2].</w:t>
            </w:r>
          </w:p>
        </w:tc>
      </w:tr>
      <w:tr w:rsidR="00753DEE" w14:paraId="521C1EE2" w14:textId="77777777">
        <w:tc>
          <w:tcPr>
            <w:tcW w:w="1980" w:type="dxa"/>
          </w:tcPr>
          <w:p w14:paraId="3BA98FEB" w14:textId="77777777" w:rsidR="00753DEE" w:rsidRDefault="00F02DE0">
            <w:pPr>
              <w:pStyle w:val="Compact"/>
            </w:pPr>
            <w:proofErr w:type="spellStart"/>
            <w:r>
              <w:t>productVersion</w:t>
            </w:r>
            <w:proofErr w:type="spellEnd"/>
          </w:p>
        </w:tc>
        <w:tc>
          <w:tcPr>
            <w:tcW w:w="1980" w:type="dxa"/>
          </w:tcPr>
          <w:p w14:paraId="7302FDB0" w14:textId="77777777" w:rsidR="00753DEE" w:rsidRDefault="00F02DE0">
            <w:pPr>
              <w:pStyle w:val="Compact"/>
            </w:pPr>
            <w:r>
              <w:t>String</w:t>
            </w:r>
          </w:p>
        </w:tc>
        <w:tc>
          <w:tcPr>
            <w:tcW w:w="1980" w:type="dxa"/>
          </w:tcPr>
          <w:p w14:paraId="54CB488A" w14:textId="77777777" w:rsidR="00753DEE" w:rsidRDefault="00F02DE0">
            <w:pPr>
              <w:pStyle w:val="Compact"/>
            </w:pPr>
            <w:r>
              <w:t>0..1</w:t>
            </w:r>
          </w:p>
        </w:tc>
        <w:tc>
          <w:tcPr>
            <w:tcW w:w="1980" w:type="dxa"/>
          </w:tcPr>
          <w:p w14:paraId="15AABCDD" w14:textId="77777777" w:rsidR="00753DEE" w:rsidRDefault="00F02DE0">
            <w:pPr>
              <w:pStyle w:val="Compact"/>
            </w:pPr>
            <w:r>
              <w:t>S-100 based Product type version, e.g. 1.0.0.</w:t>
            </w:r>
          </w:p>
        </w:tc>
      </w:tr>
      <w:tr w:rsidR="00753DEE" w14:paraId="02C6A222" w14:textId="77777777">
        <w:tc>
          <w:tcPr>
            <w:tcW w:w="1980" w:type="dxa"/>
          </w:tcPr>
          <w:p w14:paraId="1BD9B193" w14:textId="77777777" w:rsidR="00753DEE" w:rsidRDefault="00F02DE0">
            <w:pPr>
              <w:pStyle w:val="Compact"/>
            </w:pPr>
            <w:proofErr w:type="spellStart"/>
            <w:r>
              <w:t>dataReference</w:t>
            </w:r>
            <w:proofErr w:type="spellEnd"/>
          </w:p>
        </w:tc>
        <w:tc>
          <w:tcPr>
            <w:tcW w:w="1980" w:type="dxa"/>
          </w:tcPr>
          <w:p w14:paraId="097E1658" w14:textId="77777777" w:rsidR="00753DEE" w:rsidRDefault="00F02DE0">
            <w:pPr>
              <w:pStyle w:val="Compact"/>
            </w:pPr>
            <w:r>
              <w:t>UUID</w:t>
            </w:r>
          </w:p>
        </w:tc>
        <w:tc>
          <w:tcPr>
            <w:tcW w:w="1980" w:type="dxa"/>
          </w:tcPr>
          <w:p w14:paraId="452BDB73" w14:textId="77777777" w:rsidR="00753DEE" w:rsidRDefault="00F02DE0">
            <w:pPr>
              <w:pStyle w:val="Compact"/>
            </w:pPr>
            <w:r>
              <w:t>0..1</w:t>
            </w:r>
          </w:p>
        </w:tc>
        <w:tc>
          <w:tcPr>
            <w:tcW w:w="1980" w:type="dxa"/>
          </w:tcPr>
          <w:p w14:paraId="3E8EAE6F" w14:textId="77777777" w:rsidR="00753DEE" w:rsidRDefault="00F02DE0">
            <w:pPr>
              <w:pStyle w:val="Compact"/>
            </w:pPr>
            <w:r>
              <w:t>Dataset reference identifier to a specific S-125 dataset. The reference can be provided as search criteria. A list of references can be retrieved via Get Summary interface. If no references are provided.</w:t>
            </w:r>
          </w:p>
        </w:tc>
      </w:tr>
      <w:tr w:rsidR="00753DEE" w14:paraId="55A6CC57" w14:textId="77777777">
        <w:tc>
          <w:tcPr>
            <w:tcW w:w="1980" w:type="dxa"/>
          </w:tcPr>
          <w:p w14:paraId="1946A29C" w14:textId="77777777" w:rsidR="00753DEE" w:rsidRDefault="00F02DE0">
            <w:pPr>
              <w:pStyle w:val="Compact"/>
            </w:pPr>
            <w:r>
              <w:t>geometry</w:t>
            </w:r>
          </w:p>
        </w:tc>
        <w:tc>
          <w:tcPr>
            <w:tcW w:w="1980" w:type="dxa"/>
          </w:tcPr>
          <w:p w14:paraId="45D8ED40" w14:textId="77777777" w:rsidR="00753DEE" w:rsidRDefault="00F02DE0">
            <w:pPr>
              <w:pStyle w:val="Compact"/>
            </w:pPr>
            <w:r>
              <w:t>String (WKT)</w:t>
            </w:r>
          </w:p>
        </w:tc>
        <w:tc>
          <w:tcPr>
            <w:tcW w:w="1980" w:type="dxa"/>
          </w:tcPr>
          <w:p w14:paraId="2E129208" w14:textId="77777777" w:rsidR="00753DEE" w:rsidRDefault="00F02DE0">
            <w:pPr>
              <w:pStyle w:val="Compact"/>
            </w:pPr>
            <w:r>
              <w:t>0..1</w:t>
            </w:r>
          </w:p>
        </w:tc>
        <w:tc>
          <w:tcPr>
            <w:tcW w:w="1980" w:type="dxa"/>
          </w:tcPr>
          <w:p w14:paraId="19791852" w14:textId="77777777" w:rsidR="00753DEE" w:rsidRDefault="00F02DE0">
            <w:pPr>
              <w:pStyle w:val="Compact"/>
            </w:pPr>
            <w:r>
              <w:t xml:space="preserve">Geometry condition for geo-located information objects in WKT format. This can be used to </w:t>
            </w:r>
            <w:proofErr w:type="gramStart"/>
            <w:r>
              <w:t>filter on</w:t>
            </w:r>
            <w:proofErr w:type="gramEnd"/>
            <w:r>
              <w:t xml:space="preserve"> geometric shapes (e.g., filter S-125 datasets by a bounding box).</w:t>
            </w:r>
          </w:p>
        </w:tc>
      </w:tr>
      <w:tr w:rsidR="00753DEE" w14:paraId="17569E09" w14:textId="77777777">
        <w:tc>
          <w:tcPr>
            <w:tcW w:w="1980" w:type="dxa"/>
          </w:tcPr>
          <w:p w14:paraId="7AFA1B8A" w14:textId="77777777" w:rsidR="00753DEE" w:rsidRDefault="00F02DE0">
            <w:pPr>
              <w:pStyle w:val="Compact"/>
            </w:pPr>
            <w:proofErr w:type="spellStart"/>
            <w:r>
              <w:lastRenderedPageBreak/>
              <w:t>unlocode</w:t>
            </w:r>
            <w:proofErr w:type="spellEnd"/>
          </w:p>
        </w:tc>
        <w:tc>
          <w:tcPr>
            <w:tcW w:w="1980" w:type="dxa"/>
          </w:tcPr>
          <w:p w14:paraId="67FF7996" w14:textId="77777777" w:rsidR="00753DEE" w:rsidRDefault="00F02DE0">
            <w:pPr>
              <w:pStyle w:val="Compact"/>
            </w:pPr>
            <w:r>
              <w:t>String</w:t>
            </w:r>
          </w:p>
        </w:tc>
        <w:tc>
          <w:tcPr>
            <w:tcW w:w="1980" w:type="dxa"/>
          </w:tcPr>
          <w:p w14:paraId="4EE86474" w14:textId="77777777" w:rsidR="00753DEE" w:rsidRDefault="00F02DE0">
            <w:pPr>
              <w:pStyle w:val="Compact"/>
            </w:pPr>
            <w:r>
              <w:t>0..1</w:t>
            </w:r>
          </w:p>
        </w:tc>
        <w:tc>
          <w:tcPr>
            <w:tcW w:w="1980" w:type="dxa"/>
          </w:tcPr>
          <w:p w14:paraId="4462A4BC" w14:textId="77777777" w:rsidR="00753DEE" w:rsidRDefault="00F02DE0">
            <w:pPr>
              <w:pStyle w:val="Compact"/>
            </w:pPr>
            <w:r>
              <w:t>UN/LOCODE (United Nations Code for Trade and Transport Locations) of a defined object (e.g., “CN” for China).</w:t>
            </w:r>
          </w:p>
        </w:tc>
      </w:tr>
      <w:tr w:rsidR="00753DEE" w14:paraId="5B905C6E" w14:textId="77777777">
        <w:tc>
          <w:tcPr>
            <w:tcW w:w="1980" w:type="dxa"/>
          </w:tcPr>
          <w:p w14:paraId="70F97BA9" w14:textId="77777777" w:rsidR="00753DEE" w:rsidRDefault="00F02DE0">
            <w:pPr>
              <w:pStyle w:val="Compact"/>
            </w:pPr>
            <w:proofErr w:type="spellStart"/>
            <w:r>
              <w:t>subscriptionPeriodStart</w:t>
            </w:r>
            <w:proofErr w:type="spellEnd"/>
          </w:p>
        </w:tc>
        <w:tc>
          <w:tcPr>
            <w:tcW w:w="1980" w:type="dxa"/>
          </w:tcPr>
          <w:p w14:paraId="2E09EBAC" w14:textId="77777777" w:rsidR="00753DEE" w:rsidRDefault="00F02DE0">
            <w:pPr>
              <w:pStyle w:val="Compact"/>
            </w:pPr>
            <w:proofErr w:type="spellStart"/>
            <w:r>
              <w:t>DateTime</w:t>
            </w:r>
            <w:proofErr w:type="spellEnd"/>
          </w:p>
        </w:tc>
        <w:tc>
          <w:tcPr>
            <w:tcW w:w="1980" w:type="dxa"/>
          </w:tcPr>
          <w:p w14:paraId="4DA2E0E7" w14:textId="77777777" w:rsidR="00753DEE" w:rsidRDefault="00F02DE0">
            <w:pPr>
              <w:pStyle w:val="Compact"/>
            </w:pPr>
            <w:r>
              <w:t>0..1</w:t>
            </w:r>
          </w:p>
        </w:tc>
        <w:tc>
          <w:tcPr>
            <w:tcW w:w="1980" w:type="dxa"/>
          </w:tcPr>
          <w:p w14:paraId="7C9AD954" w14:textId="77777777" w:rsidR="00753DEE" w:rsidRDefault="00F02DE0">
            <w:pPr>
              <w:pStyle w:val="Compact"/>
            </w:pPr>
            <w:r>
              <w:t>The start date and time for which the subscription is active.</w:t>
            </w:r>
          </w:p>
        </w:tc>
      </w:tr>
      <w:tr w:rsidR="00753DEE" w14:paraId="756134AC" w14:textId="77777777">
        <w:tc>
          <w:tcPr>
            <w:tcW w:w="1980" w:type="dxa"/>
          </w:tcPr>
          <w:p w14:paraId="4C36DDF9" w14:textId="77777777" w:rsidR="00753DEE" w:rsidRDefault="00F02DE0">
            <w:pPr>
              <w:pStyle w:val="Compact"/>
            </w:pPr>
            <w:proofErr w:type="spellStart"/>
            <w:r>
              <w:t>subscriptionPeriodEnd</w:t>
            </w:r>
            <w:proofErr w:type="spellEnd"/>
          </w:p>
        </w:tc>
        <w:tc>
          <w:tcPr>
            <w:tcW w:w="1980" w:type="dxa"/>
          </w:tcPr>
          <w:p w14:paraId="6FEE7684" w14:textId="77777777" w:rsidR="00753DEE" w:rsidRDefault="00F02DE0">
            <w:pPr>
              <w:pStyle w:val="Compact"/>
            </w:pPr>
            <w:proofErr w:type="spellStart"/>
            <w:r>
              <w:t>DateTime</w:t>
            </w:r>
            <w:proofErr w:type="spellEnd"/>
          </w:p>
        </w:tc>
        <w:tc>
          <w:tcPr>
            <w:tcW w:w="1980" w:type="dxa"/>
          </w:tcPr>
          <w:p w14:paraId="2A4596B9" w14:textId="77777777" w:rsidR="00753DEE" w:rsidRDefault="00F02DE0">
            <w:pPr>
              <w:pStyle w:val="Compact"/>
            </w:pPr>
            <w:r>
              <w:t>0..1</w:t>
            </w:r>
          </w:p>
        </w:tc>
        <w:tc>
          <w:tcPr>
            <w:tcW w:w="1980" w:type="dxa"/>
          </w:tcPr>
          <w:p w14:paraId="4AB3F8EB" w14:textId="77777777" w:rsidR="00753DEE" w:rsidRDefault="00F02DE0">
            <w:pPr>
              <w:pStyle w:val="Compact"/>
            </w:pPr>
            <w:r>
              <w:t>The end date and time for which the subscription is active.</w:t>
            </w:r>
          </w:p>
        </w:tc>
      </w:tr>
      <w:tr w:rsidR="00753DEE" w14:paraId="63B6D0A0" w14:textId="77777777">
        <w:tc>
          <w:tcPr>
            <w:tcW w:w="1980" w:type="dxa"/>
          </w:tcPr>
          <w:p w14:paraId="2D2E9A81" w14:textId="77777777" w:rsidR="00753DEE" w:rsidRDefault="00F02DE0">
            <w:pPr>
              <w:pStyle w:val="Compact"/>
            </w:pPr>
            <w:proofErr w:type="spellStart"/>
            <w:r>
              <w:t>callbackEndpoint</w:t>
            </w:r>
            <w:proofErr w:type="spellEnd"/>
          </w:p>
        </w:tc>
        <w:tc>
          <w:tcPr>
            <w:tcW w:w="1980" w:type="dxa"/>
          </w:tcPr>
          <w:p w14:paraId="6FEA0F9E" w14:textId="77777777" w:rsidR="00753DEE" w:rsidRDefault="00F02DE0">
            <w:pPr>
              <w:pStyle w:val="Compact"/>
            </w:pPr>
            <w:r>
              <w:t>URL</w:t>
            </w:r>
          </w:p>
        </w:tc>
        <w:tc>
          <w:tcPr>
            <w:tcW w:w="1980" w:type="dxa"/>
          </w:tcPr>
          <w:p w14:paraId="0166088E" w14:textId="77777777" w:rsidR="00753DEE" w:rsidRDefault="00F02DE0">
            <w:pPr>
              <w:pStyle w:val="Compact"/>
            </w:pPr>
            <w:r>
              <w:t>0..1</w:t>
            </w:r>
          </w:p>
        </w:tc>
        <w:tc>
          <w:tcPr>
            <w:tcW w:w="1980" w:type="dxa"/>
          </w:tcPr>
          <w:p w14:paraId="4262CF48" w14:textId="77777777" w:rsidR="00753DEE" w:rsidRDefault="00F02DE0">
            <w:pPr>
              <w:pStyle w:val="Compact"/>
            </w:pPr>
            <w:r>
              <w:t xml:space="preserve">Base URL to the requestor’s SECOM service Attribute Messages within subscription are sent to </w:t>
            </w:r>
            <w:proofErr w:type="spellStart"/>
            <w:r>
              <w:t>callbackEndpoint</w:t>
            </w:r>
            <w:proofErr w:type="spellEnd"/>
            <w:r>
              <w:t xml:space="preserve">/object. If not available, the </w:t>
            </w:r>
            <w:proofErr w:type="spellStart"/>
            <w:r>
              <w:t>baseUrl</w:t>
            </w:r>
            <w:proofErr w:type="spellEnd"/>
            <w:r>
              <w:t xml:space="preserve"> needs to be available through search service.</w:t>
            </w:r>
          </w:p>
        </w:tc>
      </w:tr>
      <w:tr w:rsidR="00753DEE" w14:paraId="2E492D61" w14:textId="77777777">
        <w:tc>
          <w:tcPr>
            <w:tcW w:w="1980" w:type="dxa"/>
          </w:tcPr>
          <w:p w14:paraId="776E7CC3" w14:textId="77777777" w:rsidR="00753DEE" w:rsidRDefault="00F02DE0">
            <w:pPr>
              <w:pStyle w:val="Compact"/>
            </w:pPr>
            <w:proofErr w:type="spellStart"/>
            <w:r>
              <w:t>pushAll</w:t>
            </w:r>
            <w:proofErr w:type="spellEnd"/>
          </w:p>
        </w:tc>
        <w:tc>
          <w:tcPr>
            <w:tcW w:w="1980" w:type="dxa"/>
          </w:tcPr>
          <w:p w14:paraId="64B54198" w14:textId="77777777" w:rsidR="00753DEE" w:rsidRDefault="00F02DE0">
            <w:pPr>
              <w:pStyle w:val="Compact"/>
            </w:pPr>
            <w:r>
              <w:t>Boolean</w:t>
            </w:r>
          </w:p>
        </w:tc>
        <w:tc>
          <w:tcPr>
            <w:tcW w:w="1980" w:type="dxa"/>
          </w:tcPr>
          <w:p w14:paraId="18A24EB2" w14:textId="77777777" w:rsidR="00753DEE" w:rsidRDefault="00F02DE0">
            <w:pPr>
              <w:pStyle w:val="Compact"/>
            </w:pPr>
            <w:r>
              <w:t>0..1</w:t>
            </w:r>
          </w:p>
        </w:tc>
        <w:tc>
          <w:tcPr>
            <w:tcW w:w="1980" w:type="dxa"/>
          </w:tcPr>
          <w:p w14:paraId="25B1BA6A" w14:textId="77777777" w:rsidR="00753DEE" w:rsidRDefault="00F02DE0">
            <w:pPr>
              <w:pStyle w:val="Compact"/>
            </w:pPr>
            <w:r>
              <w:t>Flag for sending an initial set of data within requested subscription and then start the subscription. If false, only data updates from the start of the subscription will be sent.</w:t>
            </w:r>
          </w:p>
        </w:tc>
      </w:tr>
    </w:tbl>
    <w:p w14:paraId="485EB6E8" w14:textId="77777777" w:rsidR="00753DEE" w:rsidRDefault="00F02DE0">
      <w:pPr>
        <w:pStyle w:val="Heading4"/>
      </w:pPr>
      <w:bookmarkStart w:id="80" w:name="X321683171bcb3ba35cb61ce6bceb6ef6fa07486"/>
      <w:bookmarkEnd w:id="73"/>
      <w:bookmarkEnd w:id="75"/>
      <w:r>
        <w:t>Interpretation Guidelines</w:t>
      </w:r>
    </w:p>
    <w:p w14:paraId="749BC5DC" w14:textId="77777777" w:rsidR="00753DEE" w:rsidRDefault="00F02DE0">
      <w:pPr>
        <w:pStyle w:val="FirstParagraph"/>
      </w:pPr>
      <w:r>
        <w:t xml:space="preserve">The </w:t>
      </w:r>
      <w:proofErr w:type="spellStart"/>
      <w:r>
        <w:rPr>
          <w:b/>
          <w:bCs/>
        </w:rPr>
        <w:t>dataReference</w:t>
      </w:r>
      <w:proofErr w:type="spellEnd"/>
      <w:r>
        <w:t xml:space="preserve"> criteria means that only new updates of the specific S-125 dataset will be sent in the subscription. If the </w:t>
      </w:r>
      <w:proofErr w:type="spellStart"/>
      <w:r>
        <w:rPr>
          <w:rStyle w:val="VerbatimChar"/>
        </w:rPr>
        <w:t>dataReference</w:t>
      </w:r>
      <w:proofErr w:type="spellEnd"/>
      <w:r>
        <w:t xml:space="preserve"> dataset is cancelled or deleted, the subscription ends.</w:t>
      </w:r>
    </w:p>
    <w:p w14:paraId="17027220" w14:textId="77777777" w:rsidR="00753DEE" w:rsidRDefault="00F02DE0">
      <w:pPr>
        <w:pStyle w:val="BodyText"/>
      </w:pPr>
      <w:r>
        <w:t xml:space="preserve">The </w:t>
      </w:r>
      <w:proofErr w:type="spellStart"/>
      <w:r>
        <w:rPr>
          <w:b/>
          <w:bCs/>
        </w:rPr>
        <w:t>containterType</w:t>
      </w:r>
      <w:proofErr w:type="spellEnd"/>
      <w:r>
        <w:t xml:space="preserve"> describes how the data is packaged, e.g. 0 for a S-100 </w:t>
      </w:r>
      <w:proofErr w:type="spellStart"/>
      <w:r>
        <w:t>DataSet</w:t>
      </w:r>
      <w:proofErr w:type="spellEnd"/>
      <w:r>
        <w:t>, 1 for a S-100 Exchange-Set or 2 for no specific container, e.g. RTZ in XML.</w:t>
      </w:r>
    </w:p>
    <w:p w14:paraId="53E0EA00" w14:textId="77777777" w:rsidR="00753DEE" w:rsidRDefault="00F02DE0">
      <w:pPr>
        <w:pStyle w:val="BodyText"/>
      </w:pPr>
      <w:r>
        <w:t xml:space="preserve">The </w:t>
      </w:r>
      <w:proofErr w:type="spellStart"/>
      <w:r>
        <w:rPr>
          <w:b/>
          <w:bCs/>
        </w:rPr>
        <w:t>dataProductType</w:t>
      </w:r>
      <w:proofErr w:type="spellEnd"/>
      <w:r>
        <w:t xml:space="preserve"> and </w:t>
      </w:r>
      <w:proofErr w:type="spellStart"/>
      <w:r>
        <w:rPr>
          <w:b/>
          <w:bCs/>
        </w:rPr>
        <w:t>productVersion</w:t>
      </w:r>
      <w:proofErr w:type="spellEnd"/>
      <w:r>
        <w:t xml:space="preserve"> criteria means that only information of the type and version will be sent in the subscription. </w:t>
      </w:r>
      <w:proofErr w:type="gramStart"/>
      <w:r>
        <w:t>For the purpose of</w:t>
      </w:r>
      <w:proofErr w:type="gramEnd"/>
      <w:r>
        <w:t xml:space="preserve"> this service design, the data product type must always “S-125” as per the format specified in S-100 [8].</w:t>
      </w:r>
    </w:p>
    <w:p w14:paraId="767DDA90" w14:textId="77777777" w:rsidR="00753DEE" w:rsidRDefault="00F02DE0">
      <w:pPr>
        <w:pStyle w:val="BodyText"/>
      </w:pPr>
      <w:r>
        <w:t xml:space="preserve">The </w:t>
      </w:r>
      <w:r>
        <w:rPr>
          <w:b/>
          <w:bCs/>
        </w:rPr>
        <w:t>geometry</w:t>
      </w:r>
      <w:r>
        <w:t xml:space="preserve"> describes geographical criteria for the data requested. The geometry is given as a one-line WKT formatted string and can contain one or more geographical objects.</w:t>
      </w:r>
    </w:p>
    <w:p w14:paraId="5536BAFA" w14:textId="77777777" w:rsidR="00753DEE" w:rsidRDefault="00F02DE0">
      <w:pPr>
        <w:pStyle w:val="BodyText"/>
      </w:pPr>
      <w:r>
        <w:t xml:space="preserve">The </w:t>
      </w:r>
      <w:proofErr w:type="spellStart"/>
      <w:r>
        <w:rPr>
          <w:b/>
          <w:bCs/>
        </w:rPr>
        <w:t>unlocode</w:t>
      </w:r>
      <w:proofErr w:type="spellEnd"/>
      <w:r>
        <w:t xml:space="preserve"> criteria means that only information related to the </w:t>
      </w:r>
      <w:proofErr w:type="spellStart"/>
      <w:r>
        <w:rPr>
          <w:rStyle w:val="VerbatimChar"/>
        </w:rPr>
        <w:t>unlocode</w:t>
      </w:r>
      <w:proofErr w:type="spellEnd"/>
      <w:r>
        <w:t xml:space="preserve"> will be sent in the subscription. If there is no </w:t>
      </w:r>
      <w:proofErr w:type="spellStart"/>
      <w:r>
        <w:t>unlocode</w:t>
      </w:r>
      <w:proofErr w:type="spellEnd"/>
      <w:r>
        <w:t xml:space="preserve"> related to the information provided by the service, the </w:t>
      </w:r>
      <w:proofErr w:type="spellStart"/>
      <w:r>
        <w:rPr>
          <w:rStyle w:val="VerbatimChar"/>
        </w:rPr>
        <w:t>unlocode</w:t>
      </w:r>
      <w:proofErr w:type="spellEnd"/>
      <w:r>
        <w:t xml:space="preserve"> is ignored.</w:t>
      </w:r>
    </w:p>
    <w:p w14:paraId="2FAFDB9E" w14:textId="77777777" w:rsidR="00753DEE" w:rsidRDefault="00F02DE0">
      <w:pPr>
        <w:pStyle w:val="BodyText"/>
      </w:pPr>
      <w:r>
        <w:t xml:space="preserve">The </w:t>
      </w:r>
      <w:proofErr w:type="spellStart"/>
      <w:r>
        <w:rPr>
          <w:b/>
          <w:bCs/>
        </w:rPr>
        <w:t>subscriptionPeriodStart</w:t>
      </w:r>
      <w:proofErr w:type="spellEnd"/>
      <w:r>
        <w:t xml:space="preserve"> and </w:t>
      </w:r>
      <w:proofErr w:type="spellStart"/>
      <w:r>
        <w:rPr>
          <w:b/>
          <w:bCs/>
        </w:rPr>
        <w:t>subscriptionPeriodEnd</w:t>
      </w:r>
      <w:proofErr w:type="spellEnd"/>
      <w:r>
        <w:t xml:space="preserve"> criteria mean that data produced in the given </w:t>
      </w:r>
      <w:proofErr w:type="gramStart"/>
      <w:r>
        <w:t>time period</w:t>
      </w:r>
      <w:proofErr w:type="gramEnd"/>
      <w:r>
        <w:t xml:space="preserve"> will be sent in the subscription. When </w:t>
      </w:r>
      <w:proofErr w:type="spellStart"/>
      <w:r>
        <w:t>subscriptionPeriodEnd</w:t>
      </w:r>
      <w:proofErr w:type="spellEnd"/>
      <w:r>
        <w:t xml:space="preserve"> is reached, the subscription shall be removed automatically. The </w:t>
      </w:r>
      <w:proofErr w:type="gramStart"/>
      <w:r>
        <w:t>time period</w:t>
      </w:r>
      <w:proofErr w:type="gramEnd"/>
      <w:r>
        <w:t xml:space="preserve"> is recommended to be formatted in ISO 8601 UTC as </w:t>
      </w:r>
      <w:proofErr w:type="spellStart"/>
      <w:r>
        <w:t>yyyy</w:t>
      </w:r>
      <w:proofErr w:type="spellEnd"/>
      <w:r>
        <w:t xml:space="preserve">-mm-dd </w:t>
      </w:r>
      <w:proofErr w:type="spellStart"/>
      <w:r>
        <w:t>hh:</w:t>
      </w:r>
      <w:proofErr w:type="gramStart"/>
      <w:r>
        <w:t>mm:ssZ</w:t>
      </w:r>
      <w:proofErr w:type="spellEnd"/>
      <w:proofErr w:type="gramEnd"/>
      <w:r>
        <w:t>.</w:t>
      </w:r>
    </w:p>
    <w:p w14:paraId="08890B3A" w14:textId="77777777" w:rsidR="00753DEE" w:rsidRDefault="00F02DE0">
      <w:pPr>
        <w:pStyle w:val="BodyText"/>
      </w:pPr>
      <w:r>
        <w:t xml:space="preserve">The </w:t>
      </w:r>
      <w:proofErr w:type="spellStart"/>
      <w:r>
        <w:rPr>
          <w:b/>
          <w:bCs/>
        </w:rPr>
        <w:t>callbackEndpoint</w:t>
      </w:r>
      <w:proofErr w:type="spellEnd"/>
      <w:r>
        <w:t xml:space="preserve"> optionally contains the URL of the data consumers. The service may use that information to contact the data consumer when updates are available for an established subscription. If that information is not available, the data provider should search for the data consumer using the provided MRN in the appropriate Service Registry (e.g. MSR).</w:t>
      </w:r>
    </w:p>
    <w:p w14:paraId="0C8066D9" w14:textId="77777777" w:rsidR="00753DEE" w:rsidRDefault="00F02DE0">
      <w:pPr>
        <w:pStyle w:val="BodyText"/>
      </w:pPr>
      <w:r>
        <w:lastRenderedPageBreak/>
        <w:t xml:space="preserve">The </w:t>
      </w:r>
      <w:proofErr w:type="spellStart"/>
      <w:r>
        <w:rPr>
          <w:b/>
          <w:bCs/>
        </w:rPr>
        <w:t>pushAll</w:t>
      </w:r>
      <w:proofErr w:type="spellEnd"/>
      <w:r>
        <w:t xml:space="preserve"> flag signals that the service is expected push the latest S-125 datasets covered by a subscription to the data consumer, right after the subscription has been established. This removes the requirement for data consumers to always pull the data manually when creating a subscription.</w:t>
      </w:r>
    </w:p>
    <w:p w14:paraId="34F63DD8" w14:textId="77777777" w:rsidR="00753DEE" w:rsidRDefault="00F02DE0">
      <w:pPr>
        <w:pStyle w:val="Heading3"/>
      </w:pPr>
      <w:bookmarkStart w:id="81" w:name="_Toc225155480"/>
      <w:bookmarkStart w:id="82" w:name="Xb42e42c97a53f37c9809fb0a730f8ea83423c15"/>
      <w:bookmarkEnd w:id="76"/>
      <w:bookmarkEnd w:id="77"/>
      <w:r>
        <w:t>Operation Remove Subscription</w:t>
      </w:r>
      <w:bookmarkEnd w:id="81"/>
    </w:p>
    <w:p w14:paraId="65AF44FC" w14:textId="77777777" w:rsidR="00753DEE" w:rsidRDefault="00F02DE0">
      <w:pPr>
        <w:pStyle w:val="FirstParagraph"/>
      </w:pPr>
      <w:r>
        <w:t xml:space="preserve">The </w:t>
      </w:r>
      <w:r>
        <w:rPr>
          <w:i/>
          <w:iCs/>
        </w:rPr>
        <w:t>Remove Subscription</w:t>
      </w:r>
      <w:r>
        <w:t xml:space="preserve"> operation can be used to remove subscriptions that were created earlier through the Subscribe operation. It follows a one-way paradigm (ONE_WAY), where a client sends data to consumer without expecting information back, other than a technical response.</w:t>
      </w:r>
    </w:p>
    <w:p w14:paraId="0FF65642" w14:textId="77777777" w:rsidR="00753DEE" w:rsidRDefault="00F02DE0">
      <w:pPr>
        <w:pStyle w:val="BodyText"/>
      </w:pPr>
      <w:r>
        <w:t>The Remove Subscription operation interface must be implemented only by the data provider.</w:t>
      </w:r>
    </w:p>
    <w:p w14:paraId="7857EC3A" w14:textId="77777777" w:rsidR="00753DEE" w:rsidRDefault="00F02DE0">
      <w:pPr>
        <w:pStyle w:val="BodyText"/>
      </w:pPr>
      <w:r>
        <w:t>Use of the interface is according to the SECOM specification.</w:t>
      </w:r>
    </w:p>
    <w:p w14:paraId="600E6D7F" w14:textId="77777777" w:rsidR="00753DEE" w:rsidRDefault="00F02DE0">
      <w:pPr>
        <w:pStyle w:val="Compact"/>
        <w:numPr>
          <w:ilvl w:val="0"/>
          <w:numId w:val="82"/>
        </w:numPr>
      </w:pPr>
      <w:r>
        <w:t>Name: Remove Subscription Interface</w:t>
      </w:r>
    </w:p>
    <w:p w14:paraId="248B87DE" w14:textId="77777777" w:rsidR="00753DEE" w:rsidRDefault="00F02DE0">
      <w:pPr>
        <w:pStyle w:val="Compact"/>
        <w:numPr>
          <w:ilvl w:val="0"/>
          <w:numId w:val="82"/>
        </w:numPr>
      </w:pPr>
      <w:r>
        <w:t>Sub-path: /v2/subscription</w:t>
      </w:r>
    </w:p>
    <w:p w14:paraId="17E80440" w14:textId="77777777" w:rsidR="00753DEE" w:rsidRDefault="00F02DE0">
      <w:pPr>
        <w:pStyle w:val="Compact"/>
        <w:numPr>
          <w:ilvl w:val="0"/>
          <w:numId w:val="82"/>
        </w:numPr>
      </w:pPr>
      <w:r>
        <w:t>HTTP-Method: DELETE</w:t>
      </w:r>
    </w:p>
    <w:p w14:paraId="3AF7D25C" w14:textId="77777777" w:rsidR="00753DEE" w:rsidRDefault="00F02DE0">
      <w:pPr>
        <w:pStyle w:val="Compact"/>
        <w:numPr>
          <w:ilvl w:val="0"/>
          <w:numId w:val="82"/>
        </w:numPr>
      </w:pPr>
      <w:r>
        <w:t>Cookies: Session-Cookies (optional)</w:t>
      </w:r>
    </w:p>
    <w:p w14:paraId="504DD55C" w14:textId="77777777" w:rsidR="00753DEE" w:rsidRDefault="00F02DE0">
      <w:pPr>
        <w:pStyle w:val="Compact"/>
        <w:numPr>
          <w:ilvl w:val="0"/>
          <w:numId w:val="82"/>
        </w:numPr>
      </w:pPr>
      <w:r>
        <w:t>Content-Type: application/</w:t>
      </w:r>
      <w:proofErr w:type="spellStart"/>
      <w:r>
        <w:t>json</w:t>
      </w:r>
      <w:proofErr w:type="spellEnd"/>
    </w:p>
    <w:p w14:paraId="54FEFE44" w14:textId="77777777" w:rsidR="00753DEE" w:rsidRDefault="00F02DE0">
      <w:pPr>
        <w:pStyle w:val="Heading4"/>
      </w:pPr>
      <w:bookmarkStart w:id="83" w:name="X4db56b38b45308e6f52bddc728ea5ce8e34df69"/>
      <w:r>
        <w:t>Operation Functionality</w:t>
      </w:r>
    </w:p>
    <w:p w14:paraId="556D5A5B" w14:textId="77777777" w:rsidR="00753DEE" w:rsidRDefault="00F02DE0">
      <w:pPr>
        <w:pStyle w:val="FirstParagraph"/>
      </w:pPr>
      <w:r>
        <w:t>The SECOM interface specification is not clear on whether the MRN of the data consumer that originally requested the subscription is to be checked against the MRN of the actor who performed this request. It is therefore assumed that any valid data consumer can terminate an existing subscription. A notification is then expected to inform the subscribed data consumer. If no subscription identifier parameter is specified, the service will respond with an error code and an appropriate message.</w:t>
      </w:r>
    </w:p>
    <w:p w14:paraId="5F30453A" w14:textId="77777777" w:rsidR="00753DEE" w:rsidRDefault="00F02DE0">
      <w:pPr>
        <w:pStyle w:val="BodyText"/>
      </w:pPr>
      <w:r>
        <w:t>The operation interface consumes the following consumer interfaces:</w:t>
      </w:r>
    </w:p>
    <w:p w14:paraId="59DC98B0" w14:textId="77777777" w:rsidR="00753DEE" w:rsidRDefault="00F02DE0">
      <w:pPr>
        <w:pStyle w:val="Compact"/>
        <w:numPr>
          <w:ilvl w:val="0"/>
          <w:numId w:val="83"/>
        </w:numPr>
      </w:pPr>
      <w:r>
        <w:t>Subscription Notification</w:t>
      </w:r>
    </w:p>
    <w:p w14:paraId="7EDA70E0" w14:textId="77777777" w:rsidR="00753DEE" w:rsidRDefault="00F02DE0">
      <w:pPr>
        <w:pStyle w:val="FirstParagraph"/>
      </w:pPr>
      <w:r>
        <w:t>The Subscription Notification consumer interface is used to inform the consumer that on the status of the subscription, i.e. when it has been successfully removed.</w:t>
      </w:r>
    </w:p>
    <w:p w14:paraId="1D293285" w14:textId="77777777" w:rsidR="00753DEE" w:rsidRDefault="00F02DE0">
      <w:pPr>
        <w:pStyle w:val="Heading4"/>
      </w:pPr>
      <w:bookmarkStart w:id="84" w:name="X59199ea899977f31328467fa29a6fde7fcbb1c9"/>
      <w:bookmarkEnd w:id="79"/>
      <w:r>
        <w:t>Operation Parameters</w:t>
      </w:r>
    </w:p>
    <w:p w14:paraId="5083D695" w14:textId="77777777" w:rsidR="00753DEE" w:rsidRDefault="00F02DE0">
      <w:pPr>
        <w:pStyle w:val="TableCaption"/>
      </w:pPr>
      <w:bookmarkStart w:id="85" w:name="_Toc225155440"/>
      <w:bookmarkStart w:id="86" w:name="X4772c8611569fcb91c9b92129f66f8625501014"/>
      <w:r>
        <w:t>The Remove Subscription Operation Parameters.</w:t>
      </w:r>
      <w:bookmarkEnd w:id="85"/>
    </w:p>
    <w:tbl>
      <w:tblPr>
        <w:tblStyle w:val="Table"/>
        <w:tblW w:w="5000" w:type="pct"/>
        <w:tblLayout w:type="fixed"/>
        <w:tblLook w:val="0020" w:firstRow="1" w:lastRow="0" w:firstColumn="0" w:lastColumn="0" w:noHBand="0" w:noVBand="0"/>
        <w:tblCaption w:val="The Remove Subscription Operation Parameters."/>
      </w:tblPr>
      <w:tblGrid>
        <w:gridCol w:w="2548"/>
        <w:gridCol w:w="2549"/>
        <w:gridCol w:w="2549"/>
        <w:gridCol w:w="2549"/>
      </w:tblGrid>
      <w:tr w:rsidR="00753DEE" w14:paraId="67CEC05B"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6CCBE9CB" w14:textId="77777777" w:rsidR="00753DEE" w:rsidRDefault="00F02DE0">
            <w:pPr>
              <w:pStyle w:val="Compact"/>
            </w:pPr>
            <w:r>
              <w:t>Parameters (in)</w:t>
            </w:r>
          </w:p>
        </w:tc>
        <w:tc>
          <w:tcPr>
            <w:tcW w:w="1980" w:type="dxa"/>
          </w:tcPr>
          <w:p w14:paraId="65D4FE84" w14:textId="77777777" w:rsidR="00753DEE" w:rsidRDefault="00F02DE0">
            <w:pPr>
              <w:pStyle w:val="Compact"/>
            </w:pPr>
            <w:r>
              <w:t>Encoding</w:t>
            </w:r>
          </w:p>
        </w:tc>
        <w:tc>
          <w:tcPr>
            <w:tcW w:w="1980" w:type="dxa"/>
          </w:tcPr>
          <w:p w14:paraId="3734EBD7" w14:textId="77777777" w:rsidR="00753DEE" w:rsidRDefault="00F02DE0">
            <w:pPr>
              <w:pStyle w:val="Compact"/>
            </w:pPr>
            <w:r>
              <w:t>Mult.</w:t>
            </w:r>
          </w:p>
        </w:tc>
        <w:tc>
          <w:tcPr>
            <w:tcW w:w="1980" w:type="dxa"/>
          </w:tcPr>
          <w:p w14:paraId="04486170" w14:textId="77777777" w:rsidR="00753DEE" w:rsidRDefault="00F02DE0">
            <w:pPr>
              <w:pStyle w:val="Compact"/>
            </w:pPr>
            <w:r>
              <w:t>Descriptions</w:t>
            </w:r>
          </w:p>
        </w:tc>
      </w:tr>
      <w:tr w:rsidR="00753DEE" w14:paraId="760FC833" w14:textId="77777777">
        <w:tc>
          <w:tcPr>
            <w:tcW w:w="1980" w:type="dxa"/>
          </w:tcPr>
          <w:p w14:paraId="01B64585" w14:textId="77777777" w:rsidR="00753DEE" w:rsidRDefault="00F02DE0">
            <w:pPr>
              <w:pStyle w:val="Compact"/>
            </w:pPr>
            <w:proofErr w:type="spellStart"/>
            <w:r>
              <w:t>subscriptionIdentifier</w:t>
            </w:r>
            <w:proofErr w:type="spellEnd"/>
          </w:p>
        </w:tc>
        <w:tc>
          <w:tcPr>
            <w:tcW w:w="1980" w:type="dxa"/>
          </w:tcPr>
          <w:p w14:paraId="4895A65B" w14:textId="77777777" w:rsidR="00753DEE" w:rsidRDefault="00F02DE0">
            <w:pPr>
              <w:pStyle w:val="Compact"/>
            </w:pPr>
            <w:r>
              <w:t>UUID</w:t>
            </w:r>
          </w:p>
        </w:tc>
        <w:tc>
          <w:tcPr>
            <w:tcW w:w="1980" w:type="dxa"/>
          </w:tcPr>
          <w:p w14:paraId="301BBCE4" w14:textId="77777777" w:rsidR="00753DEE" w:rsidRDefault="00F02DE0">
            <w:pPr>
              <w:pStyle w:val="Compact"/>
            </w:pPr>
            <w:r>
              <w:t>1</w:t>
            </w:r>
          </w:p>
        </w:tc>
        <w:tc>
          <w:tcPr>
            <w:tcW w:w="1980" w:type="dxa"/>
          </w:tcPr>
          <w:p w14:paraId="332A3A6A" w14:textId="77777777" w:rsidR="00753DEE" w:rsidRDefault="00F02DE0">
            <w:pPr>
              <w:pStyle w:val="Compact"/>
            </w:pPr>
            <w:r>
              <w:t>Specific identifier of the active subscription to be removed. Typically received by the data consumer after a subscription request or through a subscription notification.</w:t>
            </w:r>
          </w:p>
        </w:tc>
      </w:tr>
    </w:tbl>
    <w:p w14:paraId="5680489C" w14:textId="77777777" w:rsidR="00753DEE" w:rsidRDefault="00F02DE0">
      <w:pPr>
        <w:pStyle w:val="Heading4"/>
      </w:pPr>
      <w:bookmarkStart w:id="87" w:name="X9106c86090272eb126c145e456c1c58b6bb32a7"/>
      <w:bookmarkEnd w:id="80"/>
      <w:bookmarkEnd w:id="82"/>
      <w:r>
        <w:t>Interpretation Guidelines</w:t>
      </w:r>
    </w:p>
    <w:p w14:paraId="126E5AB9" w14:textId="77777777" w:rsidR="00753DEE" w:rsidRDefault="00F02DE0">
      <w:pPr>
        <w:pStyle w:val="FirstParagraph"/>
      </w:pPr>
      <w:r>
        <w:t xml:space="preserve">The incoming </w:t>
      </w:r>
      <w:proofErr w:type="spellStart"/>
      <w:r>
        <w:rPr>
          <w:b/>
          <w:bCs/>
          <w:i/>
          <w:iCs/>
        </w:rPr>
        <w:t>subscriptionIdentifier</w:t>
      </w:r>
      <w:proofErr w:type="spellEnd"/>
      <w:r>
        <w:t xml:space="preserve"> given when the subscription was created and provided in the Subscription Notification, is used to remove the corresponding subscription.</w:t>
      </w:r>
    </w:p>
    <w:p w14:paraId="2E9B1AB7" w14:textId="77777777" w:rsidR="00753DEE" w:rsidRDefault="00F02DE0">
      <w:pPr>
        <w:pStyle w:val="Heading3"/>
      </w:pPr>
      <w:bookmarkStart w:id="88" w:name="_Toc225155481"/>
      <w:bookmarkStart w:id="89" w:name="X59c21a06dcfa7ca69e3bca6a65484b6855bc793"/>
      <w:bookmarkEnd w:id="83"/>
      <w:bookmarkEnd w:id="84"/>
      <w:r>
        <w:t>Operation Subscription Notification</w:t>
      </w:r>
      <w:bookmarkEnd w:id="88"/>
    </w:p>
    <w:p w14:paraId="0F5C981B" w14:textId="77777777" w:rsidR="00753DEE" w:rsidRDefault="00F02DE0">
      <w:pPr>
        <w:pStyle w:val="FirstParagraph"/>
      </w:pPr>
      <w:r>
        <w:t xml:space="preserve">The </w:t>
      </w:r>
      <w:r>
        <w:rPr>
          <w:i/>
          <w:iCs/>
        </w:rPr>
        <w:t>Subscription Notification</w:t>
      </w:r>
      <w:r>
        <w:t xml:space="preserve"> operation receives notifications by data provider, when a subscription is created or removed.</w:t>
      </w:r>
    </w:p>
    <w:p w14:paraId="6E43EB12" w14:textId="77777777" w:rsidR="00753DEE" w:rsidRDefault="00F02DE0">
      <w:pPr>
        <w:pStyle w:val="BodyText"/>
      </w:pPr>
      <w:r>
        <w:t>The Subscription Notification operation interface must be implemented only by the data consumer.</w:t>
      </w:r>
    </w:p>
    <w:p w14:paraId="3E9DF246" w14:textId="77777777" w:rsidR="00753DEE" w:rsidRDefault="00F02DE0">
      <w:pPr>
        <w:pStyle w:val="BodyText"/>
      </w:pPr>
      <w:r>
        <w:t>Use of the interface is according to the SECOM specification.</w:t>
      </w:r>
    </w:p>
    <w:p w14:paraId="4C642E16" w14:textId="77777777" w:rsidR="00753DEE" w:rsidRDefault="00F02DE0">
      <w:pPr>
        <w:pStyle w:val="Compact"/>
        <w:numPr>
          <w:ilvl w:val="0"/>
          <w:numId w:val="84"/>
        </w:numPr>
      </w:pPr>
      <w:r>
        <w:lastRenderedPageBreak/>
        <w:t>Name: Subscription Notification Interface</w:t>
      </w:r>
    </w:p>
    <w:p w14:paraId="3A48E6D9" w14:textId="77777777" w:rsidR="00753DEE" w:rsidRDefault="00F02DE0">
      <w:pPr>
        <w:pStyle w:val="Compact"/>
        <w:numPr>
          <w:ilvl w:val="0"/>
          <w:numId w:val="84"/>
        </w:numPr>
      </w:pPr>
      <w:r>
        <w:t>Sub-path: /v2/subscription/notification</w:t>
      </w:r>
    </w:p>
    <w:p w14:paraId="19CCD90B" w14:textId="77777777" w:rsidR="00753DEE" w:rsidRDefault="00F02DE0">
      <w:pPr>
        <w:pStyle w:val="Compact"/>
        <w:numPr>
          <w:ilvl w:val="0"/>
          <w:numId w:val="84"/>
        </w:numPr>
      </w:pPr>
      <w:r>
        <w:t>HTTP-Method: POST</w:t>
      </w:r>
    </w:p>
    <w:p w14:paraId="62AF360A" w14:textId="77777777" w:rsidR="00753DEE" w:rsidRDefault="00F02DE0">
      <w:pPr>
        <w:pStyle w:val="Compact"/>
        <w:numPr>
          <w:ilvl w:val="0"/>
          <w:numId w:val="84"/>
        </w:numPr>
      </w:pPr>
      <w:r>
        <w:t>Cookies: Session-Cookies (optional)</w:t>
      </w:r>
    </w:p>
    <w:p w14:paraId="76B8FC90" w14:textId="77777777" w:rsidR="00753DEE" w:rsidRDefault="00F02DE0">
      <w:pPr>
        <w:pStyle w:val="Compact"/>
        <w:numPr>
          <w:ilvl w:val="0"/>
          <w:numId w:val="84"/>
        </w:numPr>
      </w:pPr>
      <w:r>
        <w:t>Content-Type: application/</w:t>
      </w:r>
      <w:proofErr w:type="spellStart"/>
      <w:r>
        <w:t>json</w:t>
      </w:r>
      <w:proofErr w:type="spellEnd"/>
    </w:p>
    <w:p w14:paraId="31BE25D6" w14:textId="77777777" w:rsidR="00753DEE" w:rsidRDefault="00F02DE0">
      <w:pPr>
        <w:pStyle w:val="Heading4"/>
      </w:pPr>
      <w:bookmarkStart w:id="90" w:name="X2bf9bbdac74bc1e187c8bccec5185cf59bd413c"/>
      <w:r>
        <w:t>Operation Functionality</w:t>
      </w:r>
    </w:p>
    <w:p w14:paraId="66BE5097" w14:textId="77777777" w:rsidR="00753DEE" w:rsidRDefault="00F02DE0">
      <w:pPr>
        <w:pStyle w:val="FirstParagraph"/>
      </w:pPr>
      <w:r>
        <w:t xml:space="preserve">The data provider is not required to call the </w:t>
      </w:r>
      <w:proofErr w:type="spellStart"/>
      <w:r>
        <w:t>subscriptionNotification</w:t>
      </w:r>
      <w:proofErr w:type="spellEnd"/>
      <w:r>
        <w:t xml:space="preserve"> of the consumer unless the creation or removal of the subscription requires asynchronous action or is the result of a maintenance operation. If the subscription and </w:t>
      </w:r>
      <w:proofErr w:type="spellStart"/>
      <w:r>
        <w:t>removeSubscription</w:t>
      </w:r>
      <w:proofErr w:type="spellEnd"/>
      <w:r>
        <w:t xml:space="preserve"> are synchronous processes when called from the data provider, then the </w:t>
      </w:r>
      <w:proofErr w:type="spellStart"/>
      <w:r>
        <w:t>subscriptionNotification</w:t>
      </w:r>
      <w:proofErr w:type="spellEnd"/>
      <w:r>
        <w:t xml:space="preserve"> is not required.</w:t>
      </w:r>
    </w:p>
    <w:p w14:paraId="2E26A67F" w14:textId="77777777" w:rsidR="00753DEE" w:rsidRDefault="00F02DE0">
      <w:pPr>
        <w:pStyle w:val="BodyText"/>
      </w:pPr>
      <w:r>
        <w:t>The operation two parameters, presented in more detail in Table 7. To ensure the authenticity of the operation request, these parameters are included within a signed SECOM envelope structure.</w:t>
      </w:r>
    </w:p>
    <w:p w14:paraId="1BCE105C" w14:textId="77777777" w:rsidR="00753DEE" w:rsidRDefault="00F02DE0">
      <w:pPr>
        <w:pStyle w:val="Heading4"/>
      </w:pPr>
      <w:bookmarkStart w:id="91" w:name="X1bce9ac6ad41e6b25035e71d288c40cc930a663"/>
      <w:bookmarkEnd w:id="86"/>
      <w:r>
        <w:t>Operation Parameters</w:t>
      </w:r>
    </w:p>
    <w:p w14:paraId="4B565211" w14:textId="77777777" w:rsidR="00753DEE" w:rsidRDefault="00F02DE0">
      <w:pPr>
        <w:pStyle w:val="TableCaption"/>
      </w:pPr>
      <w:bookmarkStart w:id="92" w:name="_Toc225155441"/>
      <w:bookmarkStart w:id="93" w:name="Xa4f5fc2e2a48fe5cd66cf61877cb24873523153"/>
      <w:r>
        <w:t>The Subscription Notification Operation Parameters.</w:t>
      </w:r>
      <w:bookmarkEnd w:id="92"/>
    </w:p>
    <w:tbl>
      <w:tblPr>
        <w:tblStyle w:val="Table"/>
        <w:tblW w:w="5000" w:type="pct"/>
        <w:tblLayout w:type="fixed"/>
        <w:tblLook w:val="0020" w:firstRow="1" w:lastRow="0" w:firstColumn="0" w:lastColumn="0" w:noHBand="0" w:noVBand="0"/>
        <w:tblCaption w:val="The Subscription Notification Operation Parameters."/>
      </w:tblPr>
      <w:tblGrid>
        <w:gridCol w:w="2548"/>
        <w:gridCol w:w="2549"/>
        <w:gridCol w:w="2549"/>
        <w:gridCol w:w="2549"/>
      </w:tblGrid>
      <w:tr w:rsidR="00753DEE" w14:paraId="2A9E167B"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49973C4E" w14:textId="77777777" w:rsidR="00753DEE" w:rsidRDefault="00F02DE0">
            <w:pPr>
              <w:pStyle w:val="Compact"/>
            </w:pPr>
            <w:r>
              <w:t>Parameters (in)</w:t>
            </w:r>
          </w:p>
        </w:tc>
        <w:tc>
          <w:tcPr>
            <w:tcW w:w="1980" w:type="dxa"/>
          </w:tcPr>
          <w:p w14:paraId="49F145EA" w14:textId="77777777" w:rsidR="00753DEE" w:rsidRDefault="00F02DE0">
            <w:pPr>
              <w:pStyle w:val="Compact"/>
            </w:pPr>
            <w:r>
              <w:t>Encoding</w:t>
            </w:r>
          </w:p>
        </w:tc>
        <w:tc>
          <w:tcPr>
            <w:tcW w:w="1980" w:type="dxa"/>
          </w:tcPr>
          <w:p w14:paraId="48140A15" w14:textId="77777777" w:rsidR="00753DEE" w:rsidRDefault="00F02DE0">
            <w:pPr>
              <w:pStyle w:val="Compact"/>
            </w:pPr>
            <w:r>
              <w:t>Mult.</w:t>
            </w:r>
          </w:p>
        </w:tc>
        <w:tc>
          <w:tcPr>
            <w:tcW w:w="1980" w:type="dxa"/>
          </w:tcPr>
          <w:p w14:paraId="43D3ACEF" w14:textId="77777777" w:rsidR="00753DEE" w:rsidRDefault="00F02DE0">
            <w:pPr>
              <w:pStyle w:val="Compact"/>
            </w:pPr>
            <w:r>
              <w:t>Descriptions</w:t>
            </w:r>
          </w:p>
        </w:tc>
      </w:tr>
      <w:tr w:rsidR="00753DEE" w14:paraId="516E2498" w14:textId="77777777">
        <w:tc>
          <w:tcPr>
            <w:tcW w:w="1980" w:type="dxa"/>
          </w:tcPr>
          <w:p w14:paraId="0DD1355E" w14:textId="77777777" w:rsidR="00753DEE" w:rsidRDefault="00F02DE0">
            <w:pPr>
              <w:pStyle w:val="Compact"/>
            </w:pPr>
            <w:proofErr w:type="spellStart"/>
            <w:r>
              <w:t>subscriptionIdentifier</w:t>
            </w:r>
            <w:proofErr w:type="spellEnd"/>
          </w:p>
        </w:tc>
        <w:tc>
          <w:tcPr>
            <w:tcW w:w="1980" w:type="dxa"/>
          </w:tcPr>
          <w:p w14:paraId="2DF911F8" w14:textId="77777777" w:rsidR="00753DEE" w:rsidRDefault="00F02DE0">
            <w:pPr>
              <w:pStyle w:val="Compact"/>
            </w:pPr>
            <w:r>
              <w:t>UUID</w:t>
            </w:r>
          </w:p>
        </w:tc>
        <w:tc>
          <w:tcPr>
            <w:tcW w:w="1980" w:type="dxa"/>
          </w:tcPr>
          <w:p w14:paraId="4733211F" w14:textId="77777777" w:rsidR="00753DEE" w:rsidRDefault="00F02DE0">
            <w:pPr>
              <w:pStyle w:val="Compact"/>
            </w:pPr>
            <w:r>
              <w:t>1</w:t>
            </w:r>
          </w:p>
        </w:tc>
        <w:tc>
          <w:tcPr>
            <w:tcW w:w="1980" w:type="dxa"/>
          </w:tcPr>
          <w:p w14:paraId="0F8A8DC9" w14:textId="77777777" w:rsidR="00753DEE" w:rsidRDefault="00F02DE0">
            <w:pPr>
              <w:pStyle w:val="Compact"/>
            </w:pPr>
            <w:r>
              <w:t>Specific identifier of the subscription for which the status has being updated.</w:t>
            </w:r>
          </w:p>
        </w:tc>
      </w:tr>
      <w:tr w:rsidR="00753DEE" w14:paraId="5DD16B3C" w14:textId="77777777">
        <w:tc>
          <w:tcPr>
            <w:tcW w:w="1980" w:type="dxa"/>
          </w:tcPr>
          <w:p w14:paraId="097ECD7D" w14:textId="77777777" w:rsidR="00753DEE" w:rsidRDefault="00F02DE0">
            <w:pPr>
              <w:pStyle w:val="Compact"/>
            </w:pPr>
            <w:proofErr w:type="spellStart"/>
            <w:r>
              <w:t>eventEnum</w:t>
            </w:r>
            <w:proofErr w:type="spellEnd"/>
          </w:p>
        </w:tc>
        <w:tc>
          <w:tcPr>
            <w:tcW w:w="1980" w:type="dxa"/>
          </w:tcPr>
          <w:p w14:paraId="609DE7F6" w14:textId="77777777" w:rsidR="00753DEE" w:rsidRDefault="00F02DE0">
            <w:pPr>
              <w:pStyle w:val="Compact"/>
            </w:pPr>
            <w:proofErr w:type="spellStart"/>
            <w:r>
              <w:t>SubscriptionEventEnum</w:t>
            </w:r>
            <w:proofErr w:type="spellEnd"/>
            <w:r>
              <w:t xml:space="preserve"> as defined in [2].</w:t>
            </w:r>
          </w:p>
        </w:tc>
        <w:tc>
          <w:tcPr>
            <w:tcW w:w="1980" w:type="dxa"/>
          </w:tcPr>
          <w:p w14:paraId="24D8A102" w14:textId="77777777" w:rsidR="00753DEE" w:rsidRDefault="00F02DE0">
            <w:pPr>
              <w:pStyle w:val="Compact"/>
            </w:pPr>
            <w:r>
              <w:t>1</w:t>
            </w:r>
          </w:p>
        </w:tc>
        <w:tc>
          <w:tcPr>
            <w:tcW w:w="1980" w:type="dxa"/>
          </w:tcPr>
          <w:p w14:paraId="25A59EFF" w14:textId="77777777" w:rsidR="00753DEE" w:rsidRDefault="00F02DE0">
            <w:pPr>
              <w:pStyle w:val="Compact"/>
            </w:pPr>
            <w:r>
              <w:t>Type of subscription status update event e.g., Created or Removed.</w:t>
            </w:r>
          </w:p>
        </w:tc>
      </w:tr>
    </w:tbl>
    <w:p w14:paraId="460BCB64" w14:textId="77777777" w:rsidR="00753DEE" w:rsidRDefault="00F02DE0">
      <w:pPr>
        <w:pStyle w:val="Heading4"/>
      </w:pPr>
      <w:bookmarkStart w:id="94" w:name="X52618f391124e233f83a6d777446f531d5496ff"/>
      <w:bookmarkEnd w:id="87"/>
      <w:bookmarkEnd w:id="89"/>
      <w:r>
        <w:t>Interpretation Guidelines</w:t>
      </w:r>
    </w:p>
    <w:p w14:paraId="4D869910" w14:textId="77777777" w:rsidR="00753DEE" w:rsidRDefault="00F02DE0">
      <w:pPr>
        <w:pStyle w:val="FirstParagraph"/>
      </w:pPr>
      <w:r>
        <w:t xml:space="preserve">The </w:t>
      </w:r>
      <w:proofErr w:type="spellStart"/>
      <w:r>
        <w:rPr>
          <w:b/>
          <w:bCs/>
        </w:rPr>
        <w:t>subscriptionIdentifier</w:t>
      </w:r>
      <w:proofErr w:type="spellEnd"/>
      <w:r>
        <w:t xml:space="preserve"> is the reference to the specific subscription in focus.</w:t>
      </w:r>
    </w:p>
    <w:p w14:paraId="3FAADD91" w14:textId="77777777" w:rsidR="00753DEE" w:rsidRDefault="00F02DE0">
      <w:pPr>
        <w:pStyle w:val="BodyText"/>
      </w:pPr>
      <w:r>
        <w:t xml:space="preserve">The </w:t>
      </w:r>
      <w:proofErr w:type="spellStart"/>
      <w:r>
        <w:rPr>
          <w:b/>
          <w:bCs/>
        </w:rPr>
        <w:t>eventEnum</w:t>
      </w:r>
      <w:proofErr w:type="spellEnd"/>
      <w:r>
        <w:t xml:space="preserve"> describes the type of event, e.g. 1 when the subscription is created and “2” when the subscription is removed.</w:t>
      </w:r>
    </w:p>
    <w:p w14:paraId="1902ECF4" w14:textId="77777777" w:rsidR="00753DEE" w:rsidRDefault="00F02DE0">
      <w:pPr>
        <w:pStyle w:val="Heading3"/>
      </w:pPr>
      <w:bookmarkStart w:id="95" w:name="_Toc225155482"/>
      <w:bookmarkStart w:id="96" w:name="sec:interface_behaviour_operation_upload"/>
      <w:bookmarkEnd w:id="90"/>
      <w:bookmarkEnd w:id="91"/>
      <w:r>
        <w:t>Operation Upload</w:t>
      </w:r>
      <w:bookmarkEnd w:id="95"/>
    </w:p>
    <w:p w14:paraId="204907FC" w14:textId="77777777" w:rsidR="00753DEE" w:rsidRDefault="00F02DE0">
      <w:pPr>
        <w:pStyle w:val="FirstParagraph"/>
      </w:pPr>
      <w:r>
        <w:t xml:space="preserve">The </w:t>
      </w:r>
      <w:r>
        <w:rPr>
          <w:i/>
          <w:iCs/>
        </w:rPr>
        <w:t>Upload</w:t>
      </w:r>
      <w:r>
        <w:t xml:space="preserve"> operation enables data providers to upload (push) </w:t>
      </w:r>
      <w:proofErr w:type="spellStart"/>
      <w:r>
        <w:t>AtoN</w:t>
      </w:r>
      <w:proofErr w:type="spellEnd"/>
      <w:r>
        <w:t xml:space="preserve"> information to the data consumers. It allows consumers to receive S-125 datasets, while in a subscription or a due to a broadcast.</w:t>
      </w:r>
    </w:p>
    <w:p w14:paraId="2CC422FE" w14:textId="77777777" w:rsidR="00753DEE" w:rsidRDefault="00F02DE0">
      <w:pPr>
        <w:pStyle w:val="BodyText"/>
      </w:pPr>
      <w:r>
        <w:t>The Upload operation interface must be implemented only by the data consumers.</w:t>
      </w:r>
    </w:p>
    <w:p w14:paraId="7B7F38F2" w14:textId="77777777" w:rsidR="00753DEE" w:rsidRDefault="00F02DE0">
      <w:pPr>
        <w:pStyle w:val="BodyText"/>
      </w:pPr>
      <w:r>
        <w:t>Use of the interface is according to the SECOM specification.</w:t>
      </w:r>
    </w:p>
    <w:p w14:paraId="5AB8917A" w14:textId="77777777" w:rsidR="00753DEE" w:rsidRDefault="00F02DE0">
      <w:pPr>
        <w:pStyle w:val="Compact"/>
        <w:numPr>
          <w:ilvl w:val="0"/>
          <w:numId w:val="85"/>
        </w:numPr>
      </w:pPr>
      <w:r>
        <w:t>Name: Upload Interface</w:t>
      </w:r>
    </w:p>
    <w:p w14:paraId="75B1CF02" w14:textId="77777777" w:rsidR="00753DEE" w:rsidRDefault="00F02DE0">
      <w:pPr>
        <w:pStyle w:val="Compact"/>
        <w:numPr>
          <w:ilvl w:val="0"/>
          <w:numId w:val="85"/>
        </w:numPr>
      </w:pPr>
      <w:r>
        <w:t>Sub-path: /v2/object</w:t>
      </w:r>
    </w:p>
    <w:p w14:paraId="415F69D3" w14:textId="77777777" w:rsidR="00753DEE" w:rsidRDefault="00F02DE0">
      <w:pPr>
        <w:pStyle w:val="Compact"/>
        <w:numPr>
          <w:ilvl w:val="0"/>
          <w:numId w:val="85"/>
        </w:numPr>
      </w:pPr>
      <w:r>
        <w:t>HTTP-Method: POST</w:t>
      </w:r>
    </w:p>
    <w:p w14:paraId="046BA54A" w14:textId="77777777" w:rsidR="00753DEE" w:rsidRDefault="00F02DE0">
      <w:pPr>
        <w:pStyle w:val="Compact"/>
        <w:numPr>
          <w:ilvl w:val="0"/>
          <w:numId w:val="85"/>
        </w:numPr>
      </w:pPr>
      <w:r>
        <w:t>Cookies: Session-Cookies (optional)</w:t>
      </w:r>
    </w:p>
    <w:p w14:paraId="30B0AEFF" w14:textId="77777777" w:rsidR="00753DEE" w:rsidRDefault="00F02DE0">
      <w:pPr>
        <w:pStyle w:val="Compact"/>
        <w:numPr>
          <w:ilvl w:val="0"/>
          <w:numId w:val="85"/>
        </w:numPr>
      </w:pPr>
      <w:r>
        <w:t>Content-Type: application/</w:t>
      </w:r>
      <w:proofErr w:type="spellStart"/>
      <w:r>
        <w:t>json</w:t>
      </w:r>
      <w:proofErr w:type="spellEnd"/>
    </w:p>
    <w:p w14:paraId="05363F70" w14:textId="77777777" w:rsidR="00753DEE" w:rsidRDefault="00F02DE0">
      <w:pPr>
        <w:pStyle w:val="Heading4"/>
      </w:pPr>
      <w:bookmarkStart w:id="97" w:name="X05f1d3f5c4c4ff0fafa647134208b8f355b1c58"/>
      <w:r>
        <w:t>Operation Functionality</w:t>
      </w:r>
    </w:p>
    <w:p w14:paraId="0D2C5427" w14:textId="77777777" w:rsidR="00753DEE" w:rsidRDefault="00F02DE0">
      <w:pPr>
        <w:pStyle w:val="FirstParagraph"/>
      </w:pPr>
      <w:r>
        <w:t xml:space="preserve">In most cases this operation will take place as part of a subscription, originally initiated by the data consumer. In those </w:t>
      </w:r>
      <w:proofErr w:type="gramStart"/>
      <w:r>
        <w:t>cases</w:t>
      </w:r>
      <w:proofErr w:type="gramEnd"/>
      <w:r>
        <w:t xml:space="preserve"> the </w:t>
      </w:r>
      <w:proofErr w:type="spellStart"/>
      <w:r>
        <w:rPr>
          <w:rStyle w:val="VerbatimChar"/>
        </w:rPr>
        <w:t>fromSubscription</w:t>
      </w:r>
      <w:proofErr w:type="spellEnd"/>
      <w:r>
        <w:t xml:space="preserve"> parameters is expected to be set to </w:t>
      </w:r>
      <w:r>
        <w:rPr>
          <w:rStyle w:val="VerbatimChar"/>
        </w:rPr>
        <w:t>true</w:t>
      </w:r>
      <w:r>
        <w:t xml:space="preserve">. There </w:t>
      </w:r>
      <w:proofErr w:type="gramStart"/>
      <w:r>
        <w:t>might</w:t>
      </w:r>
      <w:proofErr w:type="gramEnd"/>
      <w:r>
        <w:t xml:space="preserve"> however, be cases where urgent </w:t>
      </w:r>
      <w:proofErr w:type="spellStart"/>
      <w:r>
        <w:t>AtoN</w:t>
      </w:r>
      <w:proofErr w:type="spellEnd"/>
      <w:r>
        <w:t xml:space="preserve"> information might need to be broadcasted, therefore data consumer uploads may also take place outside active subscriptions. These cases however are not covered by this service design.</w:t>
      </w:r>
    </w:p>
    <w:p w14:paraId="78A512F0" w14:textId="77777777" w:rsidR="00753DEE" w:rsidRDefault="00F02DE0">
      <w:pPr>
        <w:pStyle w:val="BodyText"/>
      </w:pPr>
      <w:r>
        <w:t>This interface operation may on request consume the following provider interfaces:</w:t>
      </w:r>
    </w:p>
    <w:p w14:paraId="6FD478EC" w14:textId="77777777" w:rsidR="00753DEE" w:rsidRDefault="00F02DE0">
      <w:pPr>
        <w:pStyle w:val="Compact"/>
        <w:numPr>
          <w:ilvl w:val="0"/>
          <w:numId w:val="86"/>
        </w:numPr>
      </w:pPr>
      <w:r>
        <w:t>Acknowledgement</w:t>
      </w:r>
    </w:p>
    <w:p w14:paraId="452FD9C3" w14:textId="77777777" w:rsidR="00753DEE" w:rsidRDefault="00F02DE0">
      <w:pPr>
        <w:pStyle w:val="FirstParagraph"/>
      </w:pPr>
      <w:r>
        <w:lastRenderedPageBreak/>
        <w:t xml:space="preserve">In an upload operation, an acknowledgement can be requested via the </w:t>
      </w:r>
      <w:r>
        <w:rPr>
          <w:rStyle w:val="VerbatimChar"/>
        </w:rPr>
        <w:t>&lt;</w:t>
      </w:r>
      <w:proofErr w:type="spellStart"/>
      <w:r>
        <w:rPr>
          <w:rStyle w:val="VerbatimChar"/>
        </w:rPr>
        <w:t>ackRequest</w:t>
      </w:r>
      <w:proofErr w:type="spellEnd"/>
      <w:r>
        <w:rPr>
          <w:rStyle w:val="VerbatimChar"/>
        </w:rPr>
        <w:t>&gt;</w:t>
      </w:r>
      <w:r>
        <w:t xml:space="preserve"> parameter. The acknowledgment is expected to be received when the uploaded S-125 dataset has been delivered to the end‑system (technical acknowledgement), and/or (if supported) when the message has been opened/read by the end‑user (operational acknowledgement).</w:t>
      </w:r>
    </w:p>
    <w:p w14:paraId="57C1FA8F" w14:textId="77777777" w:rsidR="00753DEE" w:rsidRDefault="00F02DE0">
      <w:pPr>
        <w:pStyle w:val="BodyText"/>
      </w:pPr>
      <w:r>
        <w:t xml:space="preserve">The data consumer may then use the URL available in the </w:t>
      </w:r>
      <w:r>
        <w:rPr>
          <w:rStyle w:val="VerbatimChar"/>
        </w:rPr>
        <w:t>&lt;</w:t>
      </w:r>
      <w:proofErr w:type="spellStart"/>
      <w:r>
        <w:rPr>
          <w:rStyle w:val="VerbatimChar"/>
        </w:rPr>
        <w:t>callbackEndpoint</w:t>
      </w:r>
      <w:proofErr w:type="spellEnd"/>
      <w:r>
        <w:rPr>
          <w:rStyle w:val="VerbatimChar"/>
        </w:rPr>
        <w:t>&gt;</w:t>
      </w:r>
      <w:r>
        <w:t xml:space="preserve"> parameter to contact the data provider directly and send the required acknowledgement. In the absence of a valid callback endpoint value, the data consumer may discover the server URL utilising an appropriate Service Registry (e.g. MSR). The data provider can be identified through its MRN, contained in the HTTPS request certificate provided during the TLS/SSL authentication step, as in Section 6.2.4.1. More information on the dynamic behaviour of this operation and its relation to the SEC</w:t>
      </w:r>
      <w:r>
        <w:t>OM-compliant service registry is provided in Section 7.2.</w:t>
      </w:r>
    </w:p>
    <w:p w14:paraId="47B62F4B" w14:textId="77777777" w:rsidR="00753DEE" w:rsidRDefault="00F02DE0">
      <w:pPr>
        <w:pStyle w:val="BodyText"/>
      </w:pPr>
      <w:r>
        <w:t>The operation supports multiple other parameters, which are presented in more detail in Table 8. To ensure the authenticity of the operation request, these parameters are included within a signed SECOM envelope structure.</w:t>
      </w:r>
    </w:p>
    <w:p w14:paraId="334126F0" w14:textId="77777777" w:rsidR="00753DEE" w:rsidRDefault="00F02DE0">
      <w:pPr>
        <w:pStyle w:val="Heading4"/>
      </w:pPr>
      <w:bookmarkStart w:id="98" w:name="X78e3cfa7089ddc8e72ef9934acb41dd6bfd9c30"/>
      <w:bookmarkEnd w:id="93"/>
      <w:r>
        <w:t>Operation Parameters</w:t>
      </w:r>
    </w:p>
    <w:p w14:paraId="657FA518" w14:textId="77777777" w:rsidR="00753DEE" w:rsidRDefault="00F02DE0">
      <w:pPr>
        <w:pStyle w:val="TableCaption"/>
      </w:pPr>
      <w:bookmarkStart w:id="99" w:name="_Toc225155442"/>
      <w:bookmarkStart w:id="100" w:name="tbl:upload_operation_parameters"/>
      <w:r>
        <w:t>The Upload Operation Parameters.</w:t>
      </w:r>
      <w:bookmarkEnd w:id="99"/>
    </w:p>
    <w:tbl>
      <w:tblPr>
        <w:tblStyle w:val="Table"/>
        <w:tblW w:w="5000" w:type="pct"/>
        <w:tblLayout w:type="fixed"/>
        <w:tblLook w:val="0020" w:firstRow="1" w:lastRow="0" w:firstColumn="0" w:lastColumn="0" w:noHBand="0" w:noVBand="0"/>
        <w:tblCaption w:val="The Upload Operation Parameters."/>
      </w:tblPr>
      <w:tblGrid>
        <w:gridCol w:w="2548"/>
        <w:gridCol w:w="2549"/>
        <w:gridCol w:w="2549"/>
        <w:gridCol w:w="2549"/>
      </w:tblGrid>
      <w:tr w:rsidR="00753DEE" w14:paraId="2FF831A3"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6CED76BD" w14:textId="77777777" w:rsidR="00753DEE" w:rsidRDefault="00F02DE0">
            <w:pPr>
              <w:pStyle w:val="Compact"/>
            </w:pPr>
            <w:r>
              <w:t>Parameters (in)</w:t>
            </w:r>
          </w:p>
        </w:tc>
        <w:tc>
          <w:tcPr>
            <w:tcW w:w="1980" w:type="dxa"/>
          </w:tcPr>
          <w:p w14:paraId="6CF11583" w14:textId="77777777" w:rsidR="00753DEE" w:rsidRDefault="00F02DE0">
            <w:pPr>
              <w:pStyle w:val="Compact"/>
            </w:pPr>
            <w:r>
              <w:t>Encoding</w:t>
            </w:r>
          </w:p>
        </w:tc>
        <w:tc>
          <w:tcPr>
            <w:tcW w:w="1980" w:type="dxa"/>
          </w:tcPr>
          <w:p w14:paraId="77D32F4F" w14:textId="77777777" w:rsidR="00753DEE" w:rsidRDefault="00F02DE0">
            <w:pPr>
              <w:pStyle w:val="Compact"/>
            </w:pPr>
            <w:r>
              <w:t>Mult.</w:t>
            </w:r>
          </w:p>
        </w:tc>
        <w:tc>
          <w:tcPr>
            <w:tcW w:w="1980" w:type="dxa"/>
          </w:tcPr>
          <w:p w14:paraId="7BCAD91D" w14:textId="77777777" w:rsidR="00753DEE" w:rsidRDefault="00F02DE0">
            <w:pPr>
              <w:pStyle w:val="Compact"/>
            </w:pPr>
            <w:r>
              <w:t>Descriptions</w:t>
            </w:r>
          </w:p>
        </w:tc>
      </w:tr>
      <w:tr w:rsidR="00753DEE" w14:paraId="5694675A" w14:textId="77777777">
        <w:tc>
          <w:tcPr>
            <w:tcW w:w="1980" w:type="dxa"/>
          </w:tcPr>
          <w:p w14:paraId="5F94F6AE" w14:textId="77777777" w:rsidR="00753DEE" w:rsidRDefault="00F02DE0">
            <w:pPr>
              <w:pStyle w:val="Compact"/>
            </w:pPr>
            <w:r>
              <w:t>data</w:t>
            </w:r>
          </w:p>
        </w:tc>
        <w:tc>
          <w:tcPr>
            <w:tcW w:w="1980" w:type="dxa"/>
          </w:tcPr>
          <w:p w14:paraId="70C86173" w14:textId="77777777" w:rsidR="00753DEE" w:rsidRDefault="00F02DE0">
            <w:pPr>
              <w:pStyle w:val="Compact"/>
            </w:pPr>
            <w:r>
              <w:t>Base64</w:t>
            </w:r>
          </w:p>
        </w:tc>
        <w:tc>
          <w:tcPr>
            <w:tcW w:w="1980" w:type="dxa"/>
          </w:tcPr>
          <w:p w14:paraId="524F7CBA" w14:textId="77777777" w:rsidR="00753DEE" w:rsidRDefault="00F02DE0">
            <w:pPr>
              <w:pStyle w:val="Compact"/>
            </w:pPr>
            <w:r>
              <w:t>1</w:t>
            </w:r>
          </w:p>
        </w:tc>
        <w:tc>
          <w:tcPr>
            <w:tcW w:w="1980" w:type="dxa"/>
          </w:tcPr>
          <w:p w14:paraId="4E70C077" w14:textId="77777777" w:rsidR="00753DEE" w:rsidRDefault="00F02DE0">
            <w:pPr>
              <w:pStyle w:val="Compact"/>
            </w:pPr>
            <w:r>
              <w:t xml:space="preserve">The S-125 XML payload, Base64 encoded. Optionally, the data can </w:t>
            </w:r>
            <w:proofErr w:type="gramStart"/>
            <w:r>
              <w:t>protected</w:t>
            </w:r>
            <w:proofErr w:type="gramEnd"/>
            <w:r>
              <w:t xml:space="preserve"> and/or compressed. This should be reflected in the </w:t>
            </w:r>
            <w:proofErr w:type="spellStart"/>
            <w:r>
              <w:t>exchangeMetadata</w:t>
            </w:r>
            <w:proofErr w:type="spellEnd"/>
            <w:r>
              <w:t xml:space="preserve"> structure.</w:t>
            </w:r>
          </w:p>
        </w:tc>
      </w:tr>
      <w:tr w:rsidR="00753DEE" w14:paraId="756F154D" w14:textId="77777777">
        <w:tc>
          <w:tcPr>
            <w:tcW w:w="1980" w:type="dxa"/>
          </w:tcPr>
          <w:p w14:paraId="164DC489" w14:textId="77777777" w:rsidR="00753DEE" w:rsidRDefault="00F02DE0">
            <w:pPr>
              <w:pStyle w:val="Compact"/>
            </w:pPr>
            <w:proofErr w:type="spellStart"/>
            <w:r>
              <w:t>containerType</w:t>
            </w:r>
            <w:proofErr w:type="spellEnd"/>
          </w:p>
        </w:tc>
        <w:tc>
          <w:tcPr>
            <w:tcW w:w="1980" w:type="dxa"/>
          </w:tcPr>
          <w:p w14:paraId="40797145" w14:textId="77777777" w:rsidR="00753DEE" w:rsidRDefault="00F02DE0">
            <w:pPr>
              <w:pStyle w:val="Compact"/>
            </w:pPr>
            <w:r>
              <w:t>Integer</w:t>
            </w:r>
          </w:p>
        </w:tc>
        <w:tc>
          <w:tcPr>
            <w:tcW w:w="1980" w:type="dxa"/>
          </w:tcPr>
          <w:p w14:paraId="0DFB3212" w14:textId="77777777" w:rsidR="00753DEE" w:rsidRDefault="00F02DE0">
            <w:pPr>
              <w:pStyle w:val="Compact"/>
            </w:pPr>
            <w:r>
              <w:t>0..1</w:t>
            </w:r>
          </w:p>
        </w:tc>
        <w:tc>
          <w:tcPr>
            <w:tcW w:w="1980" w:type="dxa"/>
          </w:tcPr>
          <w:p w14:paraId="78BC9362" w14:textId="77777777" w:rsidR="00753DEE" w:rsidRDefault="00F02DE0">
            <w:pPr>
              <w:pStyle w:val="Compact"/>
            </w:pPr>
            <w:r>
              <w:t>Requested encoding of the data as described in [2]. If not provided, the service provider determines the standard encoding.</w:t>
            </w:r>
          </w:p>
        </w:tc>
      </w:tr>
      <w:tr w:rsidR="00753DEE" w14:paraId="59ED06E6" w14:textId="77777777">
        <w:tc>
          <w:tcPr>
            <w:tcW w:w="1980" w:type="dxa"/>
          </w:tcPr>
          <w:p w14:paraId="4191312B" w14:textId="77777777" w:rsidR="00753DEE" w:rsidRDefault="00F02DE0">
            <w:pPr>
              <w:pStyle w:val="Compact"/>
            </w:pPr>
            <w:proofErr w:type="spellStart"/>
            <w:r>
              <w:t>dataProductType</w:t>
            </w:r>
            <w:proofErr w:type="spellEnd"/>
          </w:p>
        </w:tc>
        <w:tc>
          <w:tcPr>
            <w:tcW w:w="1980" w:type="dxa"/>
          </w:tcPr>
          <w:p w14:paraId="7A1824BF" w14:textId="77777777" w:rsidR="00753DEE" w:rsidRDefault="00F02DE0">
            <w:pPr>
              <w:pStyle w:val="Compact"/>
            </w:pPr>
            <w:r>
              <w:t>String</w:t>
            </w:r>
          </w:p>
        </w:tc>
        <w:tc>
          <w:tcPr>
            <w:tcW w:w="1980" w:type="dxa"/>
          </w:tcPr>
          <w:p w14:paraId="0B46A355" w14:textId="77777777" w:rsidR="00753DEE" w:rsidRDefault="00F02DE0">
            <w:pPr>
              <w:pStyle w:val="Compact"/>
            </w:pPr>
            <w:r>
              <w:t>0..1</w:t>
            </w:r>
          </w:p>
        </w:tc>
        <w:tc>
          <w:tcPr>
            <w:tcW w:w="1980" w:type="dxa"/>
          </w:tcPr>
          <w:p w14:paraId="2FF4B5BE" w14:textId="77777777" w:rsidR="00753DEE" w:rsidRDefault="00F02DE0">
            <w:pPr>
              <w:pStyle w:val="Compact"/>
            </w:pPr>
            <w:r>
              <w:t>Data product type as described in [2].</w:t>
            </w:r>
          </w:p>
        </w:tc>
      </w:tr>
      <w:tr w:rsidR="00753DEE" w14:paraId="68886DC9" w14:textId="77777777">
        <w:tc>
          <w:tcPr>
            <w:tcW w:w="1980" w:type="dxa"/>
          </w:tcPr>
          <w:p w14:paraId="752E8D54" w14:textId="77777777" w:rsidR="00753DEE" w:rsidRDefault="00F02DE0">
            <w:pPr>
              <w:pStyle w:val="Compact"/>
            </w:pPr>
            <w:proofErr w:type="spellStart"/>
            <w:r>
              <w:t>exchangeMetadata</w:t>
            </w:r>
            <w:proofErr w:type="spellEnd"/>
          </w:p>
        </w:tc>
        <w:tc>
          <w:tcPr>
            <w:tcW w:w="1980" w:type="dxa"/>
          </w:tcPr>
          <w:p w14:paraId="15F0BF50" w14:textId="77777777" w:rsidR="00753DEE" w:rsidRDefault="00F02DE0">
            <w:pPr>
              <w:pStyle w:val="Compact"/>
            </w:pPr>
            <w:proofErr w:type="spellStart"/>
            <w:r>
              <w:t>SECOM_ExchangeMetadata</w:t>
            </w:r>
            <w:proofErr w:type="spellEnd"/>
            <w:r>
              <w:t xml:space="preserve"> as defined in [2]</w:t>
            </w:r>
          </w:p>
        </w:tc>
        <w:tc>
          <w:tcPr>
            <w:tcW w:w="1980" w:type="dxa"/>
          </w:tcPr>
          <w:p w14:paraId="4FE813D6" w14:textId="77777777" w:rsidR="00753DEE" w:rsidRDefault="00F02DE0">
            <w:pPr>
              <w:pStyle w:val="Compact"/>
            </w:pPr>
            <w:r>
              <w:t>1</w:t>
            </w:r>
          </w:p>
        </w:tc>
        <w:tc>
          <w:tcPr>
            <w:tcW w:w="1980" w:type="dxa"/>
          </w:tcPr>
          <w:p w14:paraId="154DE64A" w14:textId="77777777" w:rsidR="00753DEE" w:rsidRDefault="00F02DE0">
            <w:pPr>
              <w:pStyle w:val="Compact"/>
            </w:pPr>
            <w:r>
              <w:t>The exchange metadata that contains information regarding the protection scheme, compression, signature and claimed identity.</w:t>
            </w:r>
          </w:p>
        </w:tc>
      </w:tr>
      <w:tr w:rsidR="00753DEE" w14:paraId="1145D12A" w14:textId="77777777">
        <w:tc>
          <w:tcPr>
            <w:tcW w:w="1980" w:type="dxa"/>
          </w:tcPr>
          <w:p w14:paraId="54E8AE1B" w14:textId="77777777" w:rsidR="00753DEE" w:rsidRDefault="00F02DE0">
            <w:pPr>
              <w:pStyle w:val="Compact"/>
            </w:pPr>
            <w:proofErr w:type="spellStart"/>
            <w:r>
              <w:t>fromSubscription</w:t>
            </w:r>
            <w:proofErr w:type="spellEnd"/>
          </w:p>
        </w:tc>
        <w:tc>
          <w:tcPr>
            <w:tcW w:w="1980" w:type="dxa"/>
          </w:tcPr>
          <w:p w14:paraId="7D6C25D6" w14:textId="77777777" w:rsidR="00753DEE" w:rsidRDefault="00F02DE0">
            <w:pPr>
              <w:pStyle w:val="Compact"/>
            </w:pPr>
            <w:r>
              <w:t>Boolean</w:t>
            </w:r>
          </w:p>
        </w:tc>
        <w:tc>
          <w:tcPr>
            <w:tcW w:w="1980" w:type="dxa"/>
          </w:tcPr>
          <w:p w14:paraId="38F46F64" w14:textId="77777777" w:rsidR="00753DEE" w:rsidRDefault="00F02DE0">
            <w:pPr>
              <w:pStyle w:val="Compact"/>
            </w:pPr>
            <w:r>
              <w:t>1</w:t>
            </w:r>
          </w:p>
        </w:tc>
        <w:tc>
          <w:tcPr>
            <w:tcW w:w="1980" w:type="dxa"/>
          </w:tcPr>
          <w:p w14:paraId="1462117E" w14:textId="77777777" w:rsidR="00753DEE" w:rsidRDefault="00F02DE0">
            <w:pPr>
              <w:pStyle w:val="Compact"/>
            </w:pPr>
            <w:r>
              <w:t>A flag that indicates whether the data has been uploaded within an active subscription or not.</w:t>
            </w:r>
          </w:p>
        </w:tc>
      </w:tr>
      <w:tr w:rsidR="00753DEE" w14:paraId="2495CCA3" w14:textId="77777777">
        <w:tc>
          <w:tcPr>
            <w:tcW w:w="1980" w:type="dxa"/>
          </w:tcPr>
          <w:p w14:paraId="3E75E930" w14:textId="77777777" w:rsidR="00753DEE" w:rsidRDefault="00F02DE0">
            <w:pPr>
              <w:pStyle w:val="Compact"/>
            </w:pPr>
            <w:proofErr w:type="spellStart"/>
            <w:r>
              <w:t>subscriptionIdentifier</w:t>
            </w:r>
            <w:proofErr w:type="spellEnd"/>
          </w:p>
        </w:tc>
        <w:tc>
          <w:tcPr>
            <w:tcW w:w="1980" w:type="dxa"/>
          </w:tcPr>
          <w:p w14:paraId="4C7FA15E" w14:textId="77777777" w:rsidR="00753DEE" w:rsidRDefault="00F02DE0">
            <w:pPr>
              <w:pStyle w:val="Compact"/>
            </w:pPr>
            <w:r>
              <w:t>UUID</w:t>
            </w:r>
          </w:p>
        </w:tc>
        <w:tc>
          <w:tcPr>
            <w:tcW w:w="1980" w:type="dxa"/>
          </w:tcPr>
          <w:p w14:paraId="575E5F33" w14:textId="77777777" w:rsidR="00753DEE" w:rsidRDefault="00F02DE0">
            <w:pPr>
              <w:pStyle w:val="Compact"/>
            </w:pPr>
            <w:r>
              <w:t>0..1</w:t>
            </w:r>
          </w:p>
        </w:tc>
        <w:tc>
          <w:tcPr>
            <w:tcW w:w="1980" w:type="dxa"/>
          </w:tcPr>
          <w:p w14:paraId="5A770F60" w14:textId="77777777" w:rsidR="00753DEE" w:rsidRDefault="00F02DE0">
            <w:pPr>
              <w:pStyle w:val="Compact"/>
            </w:pPr>
            <w:r>
              <w:t>Subscription identifier is specified if the object is uploaded within a subscription.</w:t>
            </w:r>
          </w:p>
        </w:tc>
      </w:tr>
      <w:tr w:rsidR="00753DEE" w14:paraId="388CE74F" w14:textId="77777777">
        <w:tc>
          <w:tcPr>
            <w:tcW w:w="1980" w:type="dxa"/>
          </w:tcPr>
          <w:p w14:paraId="21D85F3C" w14:textId="77777777" w:rsidR="00753DEE" w:rsidRDefault="00F02DE0">
            <w:pPr>
              <w:pStyle w:val="Compact"/>
            </w:pPr>
            <w:proofErr w:type="spellStart"/>
            <w:r>
              <w:t>ackRequest</w:t>
            </w:r>
            <w:proofErr w:type="spellEnd"/>
          </w:p>
        </w:tc>
        <w:tc>
          <w:tcPr>
            <w:tcW w:w="1980" w:type="dxa"/>
          </w:tcPr>
          <w:p w14:paraId="04CA485B" w14:textId="77777777" w:rsidR="00753DEE" w:rsidRDefault="00F02DE0">
            <w:pPr>
              <w:pStyle w:val="Compact"/>
            </w:pPr>
            <w:proofErr w:type="spellStart"/>
            <w:r>
              <w:t>AckRequestEnum</w:t>
            </w:r>
            <w:proofErr w:type="spellEnd"/>
            <w:r>
              <w:t xml:space="preserve"> as defined in [2]</w:t>
            </w:r>
          </w:p>
        </w:tc>
        <w:tc>
          <w:tcPr>
            <w:tcW w:w="1980" w:type="dxa"/>
          </w:tcPr>
          <w:p w14:paraId="5F469071" w14:textId="77777777" w:rsidR="00753DEE" w:rsidRDefault="00F02DE0">
            <w:pPr>
              <w:pStyle w:val="Compact"/>
            </w:pPr>
            <w:r>
              <w:t>1</w:t>
            </w:r>
          </w:p>
        </w:tc>
        <w:tc>
          <w:tcPr>
            <w:tcW w:w="1980" w:type="dxa"/>
          </w:tcPr>
          <w:p w14:paraId="31202089" w14:textId="77777777" w:rsidR="00753DEE" w:rsidRDefault="00F02DE0">
            <w:pPr>
              <w:pStyle w:val="Compact"/>
            </w:pPr>
            <w:r>
              <w:t xml:space="preserve">Flag to indicate that acknowledgement is expected to be returned when the data is delivered to the end user, and/or when the content of the </w:t>
            </w:r>
            <w:r>
              <w:lastRenderedPageBreak/>
              <w:t>data is processed (opened) by the end user.</w:t>
            </w:r>
          </w:p>
        </w:tc>
      </w:tr>
      <w:tr w:rsidR="00753DEE" w14:paraId="34E74644" w14:textId="77777777">
        <w:tc>
          <w:tcPr>
            <w:tcW w:w="1980" w:type="dxa"/>
          </w:tcPr>
          <w:p w14:paraId="10929CBE" w14:textId="77777777" w:rsidR="00753DEE" w:rsidRDefault="00F02DE0">
            <w:pPr>
              <w:pStyle w:val="Compact"/>
            </w:pPr>
            <w:proofErr w:type="spellStart"/>
            <w:r>
              <w:lastRenderedPageBreak/>
              <w:t>callbackEndpoint</w:t>
            </w:r>
            <w:proofErr w:type="spellEnd"/>
          </w:p>
        </w:tc>
        <w:tc>
          <w:tcPr>
            <w:tcW w:w="1980" w:type="dxa"/>
          </w:tcPr>
          <w:p w14:paraId="6393CCBC" w14:textId="77777777" w:rsidR="00753DEE" w:rsidRDefault="00F02DE0">
            <w:pPr>
              <w:pStyle w:val="Compact"/>
            </w:pPr>
            <w:r>
              <w:t>URL</w:t>
            </w:r>
          </w:p>
        </w:tc>
        <w:tc>
          <w:tcPr>
            <w:tcW w:w="1980" w:type="dxa"/>
          </w:tcPr>
          <w:p w14:paraId="38222C7A" w14:textId="77777777" w:rsidR="00753DEE" w:rsidRDefault="00F02DE0">
            <w:pPr>
              <w:pStyle w:val="Compact"/>
            </w:pPr>
            <w:r>
              <w:t>0..1</w:t>
            </w:r>
          </w:p>
        </w:tc>
        <w:tc>
          <w:tcPr>
            <w:tcW w:w="1980" w:type="dxa"/>
          </w:tcPr>
          <w:p w14:paraId="1211188B" w14:textId="77777777" w:rsidR="00753DEE" w:rsidRDefault="00F02DE0">
            <w:pPr>
              <w:pStyle w:val="Compact"/>
            </w:pPr>
            <w:r>
              <w:t>Base URL without trailing slash to the requestor SECOM service Endpoint where to send an acknowledgement. If not available, the endpoint needs to be available through the search service.</w:t>
            </w:r>
          </w:p>
        </w:tc>
      </w:tr>
      <w:tr w:rsidR="00753DEE" w14:paraId="2038FEAB" w14:textId="77777777">
        <w:tc>
          <w:tcPr>
            <w:tcW w:w="1980" w:type="dxa"/>
          </w:tcPr>
          <w:p w14:paraId="277F7A44" w14:textId="77777777" w:rsidR="00753DEE" w:rsidRDefault="00F02DE0">
            <w:pPr>
              <w:pStyle w:val="Compact"/>
            </w:pPr>
            <w:proofErr w:type="spellStart"/>
            <w:r>
              <w:t>transactionIdentifier</w:t>
            </w:r>
            <w:proofErr w:type="spellEnd"/>
          </w:p>
        </w:tc>
        <w:tc>
          <w:tcPr>
            <w:tcW w:w="1980" w:type="dxa"/>
          </w:tcPr>
          <w:p w14:paraId="60825B31" w14:textId="77777777" w:rsidR="00753DEE" w:rsidRDefault="00F02DE0">
            <w:pPr>
              <w:pStyle w:val="Compact"/>
            </w:pPr>
            <w:r>
              <w:t>UUID</w:t>
            </w:r>
          </w:p>
        </w:tc>
        <w:tc>
          <w:tcPr>
            <w:tcW w:w="1980" w:type="dxa"/>
          </w:tcPr>
          <w:p w14:paraId="03F15480" w14:textId="77777777" w:rsidR="00753DEE" w:rsidRDefault="00F02DE0">
            <w:pPr>
              <w:pStyle w:val="Compact"/>
            </w:pPr>
            <w:r>
              <w:t>1</w:t>
            </w:r>
          </w:p>
        </w:tc>
        <w:tc>
          <w:tcPr>
            <w:tcW w:w="1980" w:type="dxa"/>
          </w:tcPr>
          <w:p w14:paraId="5C4362FA" w14:textId="77777777" w:rsidR="00753DEE" w:rsidRDefault="00F02DE0">
            <w:pPr>
              <w:pStyle w:val="Compact"/>
            </w:pPr>
            <w:r>
              <w:t>Unique transaction UUID to be used e.g. in acknowledgement.</w:t>
            </w:r>
          </w:p>
        </w:tc>
      </w:tr>
      <w:tr w:rsidR="00753DEE" w14:paraId="68E7177B" w14:textId="77777777">
        <w:tc>
          <w:tcPr>
            <w:tcW w:w="1980" w:type="dxa"/>
          </w:tcPr>
          <w:p w14:paraId="458EA489" w14:textId="77777777" w:rsidR="00753DEE" w:rsidRDefault="00F02DE0">
            <w:pPr>
              <w:pStyle w:val="Compact"/>
            </w:pPr>
            <w:proofErr w:type="spellStart"/>
            <w:r>
              <w:t>envelopeSignatureCertificate</w:t>
            </w:r>
            <w:proofErr w:type="spellEnd"/>
          </w:p>
        </w:tc>
        <w:tc>
          <w:tcPr>
            <w:tcW w:w="1980" w:type="dxa"/>
          </w:tcPr>
          <w:p w14:paraId="0C4B0160" w14:textId="77777777" w:rsidR="00753DEE" w:rsidRDefault="00F02DE0">
            <w:pPr>
              <w:pStyle w:val="Compact"/>
            </w:pPr>
            <w:r>
              <w:t>String</w:t>
            </w:r>
          </w:p>
        </w:tc>
        <w:tc>
          <w:tcPr>
            <w:tcW w:w="1980" w:type="dxa"/>
          </w:tcPr>
          <w:p w14:paraId="34807F0A" w14:textId="77777777" w:rsidR="00753DEE" w:rsidRDefault="00F02DE0">
            <w:pPr>
              <w:pStyle w:val="Compact"/>
            </w:pPr>
            <w:proofErr w:type="gramStart"/>
            <w:r>
              <w:t>1..*</w:t>
            </w:r>
            <w:proofErr w:type="gramEnd"/>
          </w:p>
        </w:tc>
        <w:tc>
          <w:tcPr>
            <w:tcW w:w="1980" w:type="dxa"/>
          </w:tcPr>
          <w:p w14:paraId="40968131" w14:textId="77777777" w:rsidR="00753DEE" w:rsidRDefault="00F02DE0">
            <w:pPr>
              <w:pStyle w:val="Compact"/>
            </w:pPr>
            <w:r>
              <w:t>The public certificate(s) of the sender. Used to verify the envelope object signature.</w:t>
            </w:r>
          </w:p>
        </w:tc>
      </w:tr>
      <w:tr w:rsidR="00753DEE" w14:paraId="209FC9CC" w14:textId="77777777">
        <w:tc>
          <w:tcPr>
            <w:tcW w:w="1980" w:type="dxa"/>
          </w:tcPr>
          <w:p w14:paraId="047CABFE" w14:textId="77777777" w:rsidR="00753DEE" w:rsidRDefault="00F02DE0">
            <w:pPr>
              <w:pStyle w:val="Compact"/>
            </w:pPr>
            <w:proofErr w:type="spellStart"/>
            <w:r>
              <w:t>envelopeRootCertificateThumbprint</w:t>
            </w:r>
            <w:proofErr w:type="spellEnd"/>
          </w:p>
        </w:tc>
        <w:tc>
          <w:tcPr>
            <w:tcW w:w="1980" w:type="dxa"/>
          </w:tcPr>
          <w:p w14:paraId="3DDEEEBD" w14:textId="77777777" w:rsidR="00753DEE" w:rsidRDefault="00F02DE0">
            <w:pPr>
              <w:pStyle w:val="Compact"/>
            </w:pPr>
            <w:r>
              <w:t>String</w:t>
            </w:r>
          </w:p>
        </w:tc>
        <w:tc>
          <w:tcPr>
            <w:tcW w:w="1980" w:type="dxa"/>
          </w:tcPr>
          <w:p w14:paraId="2C799CBB" w14:textId="77777777" w:rsidR="00753DEE" w:rsidRDefault="00F02DE0">
            <w:pPr>
              <w:pStyle w:val="Compact"/>
            </w:pPr>
            <w:r>
              <w:t>1</w:t>
            </w:r>
          </w:p>
        </w:tc>
        <w:tc>
          <w:tcPr>
            <w:tcW w:w="1980" w:type="dxa"/>
          </w:tcPr>
          <w:p w14:paraId="507E8421" w14:textId="77777777" w:rsidR="00753DEE" w:rsidRDefault="00F02DE0">
            <w:pPr>
              <w:pStyle w:val="Compact"/>
            </w:pPr>
            <w:r>
              <w:t>Claimed Thumbprint for Signed Root Key (X.509 Certificate) SHA256 and base64 as format</w:t>
            </w:r>
          </w:p>
        </w:tc>
      </w:tr>
      <w:tr w:rsidR="00753DEE" w14:paraId="355BDEB3" w14:textId="77777777">
        <w:tc>
          <w:tcPr>
            <w:tcW w:w="1980" w:type="dxa"/>
          </w:tcPr>
          <w:p w14:paraId="2D0D487D" w14:textId="77777777" w:rsidR="00753DEE" w:rsidRDefault="00F02DE0">
            <w:pPr>
              <w:pStyle w:val="Compact"/>
            </w:pPr>
            <w:proofErr w:type="spellStart"/>
            <w:r>
              <w:t>envelopeSignatureTime</w:t>
            </w:r>
            <w:proofErr w:type="spellEnd"/>
          </w:p>
        </w:tc>
        <w:tc>
          <w:tcPr>
            <w:tcW w:w="1980" w:type="dxa"/>
          </w:tcPr>
          <w:p w14:paraId="71A2B1C8" w14:textId="77777777" w:rsidR="00753DEE" w:rsidRDefault="00F02DE0">
            <w:pPr>
              <w:pStyle w:val="Compact"/>
            </w:pPr>
            <w:proofErr w:type="spellStart"/>
            <w:r>
              <w:t>DateTime</w:t>
            </w:r>
            <w:proofErr w:type="spellEnd"/>
          </w:p>
        </w:tc>
        <w:tc>
          <w:tcPr>
            <w:tcW w:w="1980" w:type="dxa"/>
          </w:tcPr>
          <w:p w14:paraId="098B45B6" w14:textId="77777777" w:rsidR="00753DEE" w:rsidRDefault="00F02DE0">
            <w:pPr>
              <w:pStyle w:val="Compact"/>
            </w:pPr>
            <w:r>
              <w:t>1</w:t>
            </w:r>
          </w:p>
        </w:tc>
        <w:tc>
          <w:tcPr>
            <w:tcW w:w="1980" w:type="dxa"/>
          </w:tcPr>
          <w:p w14:paraId="3EFE1AED" w14:textId="77777777" w:rsidR="00753DEE" w:rsidRDefault="00F02DE0">
            <w:pPr>
              <w:pStyle w:val="Compact"/>
            </w:pPr>
            <w:r>
              <w:t>Timestamp when the envelope is signed.</w:t>
            </w:r>
          </w:p>
        </w:tc>
      </w:tr>
      <w:tr w:rsidR="00753DEE" w14:paraId="2BE132C3" w14:textId="77777777">
        <w:tc>
          <w:tcPr>
            <w:tcW w:w="1980" w:type="dxa"/>
          </w:tcPr>
          <w:p w14:paraId="207B4262" w14:textId="77777777" w:rsidR="00753DEE" w:rsidRDefault="00F02DE0">
            <w:pPr>
              <w:pStyle w:val="Compact"/>
            </w:pPr>
            <w:proofErr w:type="spellStart"/>
            <w:r>
              <w:t>envelopeSignatureReference</w:t>
            </w:r>
            <w:proofErr w:type="spellEnd"/>
          </w:p>
        </w:tc>
        <w:tc>
          <w:tcPr>
            <w:tcW w:w="1980" w:type="dxa"/>
          </w:tcPr>
          <w:p w14:paraId="33AE7CC6" w14:textId="77777777" w:rsidR="00753DEE" w:rsidRDefault="00F02DE0">
            <w:pPr>
              <w:pStyle w:val="Compact"/>
            </w:pPr>
            <w:r>
              <w:t>String</w:t>
            </w:r>
          </w:p>
        </w:tc>
        <w:tc>
          <w:tcPr>
            <w:tcW w:w="1980" w:type="dxa"/>
          </w:tcPr>
          <w:p w14:paraId="47F5833C" w14:textId="77777777" w:rsidR="00753DEE" w:rsidRDefault="00F02DE0">
            <w:pPr>
              <w:pStyle w:val="Compact"/>
            </w:pPr>
            <w:r>
              <w:t>1</w:t>
            </w:r>
          </w:p>
        </w:tc>
        <w:tc>
          <w:tcPr>
            <w:tcW w:w="1980" w:type="dxa"/>
          </w:tcPr>
          <w:p w14:paraId="30B85D54" w14:textId="77777777" w:rsidR="00753DEE" w:rsidRDefault="00F02DE0">
            <w:pPr>
              <w:pStyle w:val="Compact"/>
            </w:pPr>
            <w:r>
              <w:t xml:space="preserve">(S-100) Specifies the algorithm used to compute the </w:t>
            </w:r>
            <w:proofErr w:type="spellStart"/>
            <w:r>
              <w:t>envelopeSignature</w:t>
            </w:r>
            <w:proofErr w:type="spellEnd"/>
            <w:r>
              <w:t xml:space="preserve"> </w:t>
            </w:r>
            <w:proofErr w:type="gramStart"/>
            <w:r>
              <w:t>For</w:t>
            </w:r>
            <w:proofErr w:type="gramEnd"/>
            <w:r>
              <w:t xml:space="preserve"> example “ECDSA-384-SHA2”.</w:t>
            </w:r>
          </w:p>
        </w:tc>
      </w:tr>
    </w:tbl>
    <w:p w14:paraId="7965351C" w14:textId="77777777" w:rsidR="00753DEE" w:rsidRDefault="00F02DE0">
      <w:pPr>
        <w:pStyle w:val="Heading4"/>
      </w:pPr>
      <w:bookmarkStart w:id="101" w:name="X8a41ed6c078c393b0367eb515464f2b91772f63"/>
      <w:bookmarkEnd w:id="94"/>
      <w:bookmarkEnd w:id="96"/>
      <w:r>
        <w:t>Interpretation Guidelines</w:t>
      </w:r>
    </w:p>
    <w:p w14:paraId="3AB35DF2" w14:textId="77777777" w:rsidR="00753DEE" w:rsidRDefault="00F02DE0">
      <w:pPr>
        <w:pStyle w:val="FirstParagraph"/>
      </w:pPr>
      <w:r>
        <w:t xml:space="preserve">If any of the upload request S-125 datasets </w:t>
      </w:r>
      <w:proofErr w:type="gramStart"/>
      <w:r>
        <w:t>is</w:t>
      </w:r>
      <w:proofErr w:type="gramEnd"/>
      <w:r>
        <w:t xml:space="preserve"> too large, the returned HTTP status code must be 413. The S-125 datasets must then be shared using the upload link interface.</w:t>
      </w:r>
    </w:p>
    <w:p w14:paraId="0E27E09D" w14:textId="77777777" w:rsidR="00753DEE" w:rsidRDefault="00F02DE0">
      <w:pPr>
        <w:pStyle w:val="BodyText"/>
      </w:pPr>
      <w:r>
        <w:t xml:space="preserve">The data consumer may return HTTP status 403 if the uploaded </w:t>
      </w:r>
      <w:proofErr w:type="spellStart"/>
      <w:r>
        <w:t>AtoN</w:t>
      </w:r>
      <w:proofErr w:type="spellEnd"/>
      <w:r>
        <w:t xml:space="preserve"> information it receives that it has not requested.</w:t>
      </w:r>
    </w:p>
    <w:p w14:paraId="2AE09664" w14:textId="77777777" w:rsidR="00753DEE" w:rsidRDefault="00F02DE0">
      <w:pPr>
        <w:pStyle w:val="Heading3"/>
      </w:pPr>
      <w:bookmarkStart w:id="102" w:name="_Toc225155483"/>
      <w:bookmarkStart w:id="103" w:name="Xb4114b320ac95ac56003e9b2bb78038f2a3e187"/>
      <w:bookmarkEnd w:id="97"/>
      <w:bookmarkEnd w:id="98"/>
      <w:r>
        <w:t>Operation Upload by Link</w:t>
      </w:r>
      <w:bookmarkEnd w:id="102"/>
    </w:p>
    <w:p w14:paraId="04F64C61" w14:textId="77777777" w:rsidR="00753DEE" w:rsidRDefault="00F02DE0">
      <w:pPr>
        <w:pStyle w:val="FirstParagraph"/>
      </w:pPr>
      <w:r>
        <w:t xml:space="preserve">The </w:t>
      </w:r>
      <w:r>
        <w:rPr>
          <w:i/>
          <w:iCs/>
        </w:rPr>
        <w:t>Upload by Link</w:t>
      </w:r>
      <w:r>
        <w:t xml:space="preserve"> operation enables data providers to provide a link to large volumes of </w:t>
      </w:r>
      <w:proofErr w:type="spellStart"/>
      <w:r>
        <w:t>AtoN</w:t>
      </w:r>
      <w:proofErr w:type="spellEnd"/>
      <w:r>
        <w:t xml:space="preserve"> information to data consumers. This interface shall be used instead of the Upload operation, when the size of the data to be exchanged exceeds the predefined SECOM limits. It allows data consumers to receive large S-125 datasets, while in a subscription or a due to a broadcast.</w:t>
      </w:r>
    </w:p>
    <w:p w14:paraId="77DCD4BD" w14:textId="77777777" w:rsidR="00753DEE" w:rsidRDefault="00F02DE0">
      <w:pPr>
        <w:pStyle w:val="BodyText"/>
      </w:pPr>
      <w:r>
        <w:t>The Upload by Link operation interface must be implemented only by the data consumers.</w:t>
      </w:r>
    </w:p>
    <w:p w14:paraId="6DDA5D01" w14:textId="77777777" w:rsidR="00753DEE" w:rsidRDefault="00F02DE0">
      <w:pPr>
        <w:pStyle w:val="BodyText"/>
      </w:pPr>
      <w:r>
        <w:t>Use of the interface is according to the SECOM specification.</w:t>
      </w:r>
    </w:p>
    <w:p w14:paraId="6D2EE36D" w14:textId="77777777" w:rsidR="00753DEE" w:rsidRDefault="00F02DE0">
      <w:pPr>
        <w:pStyle w:val="Compact"/>
        <w:numPr>
          <w:ilvl w:val="0"/>
          <w:numId w:val="87"/>
        </w:numPr>
      </w:pPr>
      <w:r>
        <w:t>Name: Upload by Link Interface</w:t>
      </w:r>
    </w:p>
    <w:p w14:paraId="3AD7B460" w14:textId="77777777" w:rsidR="00753DEE" w:rsidRDefault="00F02DE0">
      <w:pPr>
        <w:pStyle w:val="Compact"/>
        <w:numPr>
          <w:ilvl w:val="0"/>
          <w:numId w:val="87"/>
        </w:numPr>
      </w:pPr>
      <w:r>
        <w:t>Sub-path: /v2/object/link</w:t>
      </w:r>
    </w:p>
    <w:p w14:paraId="002F9062" w14:textId="77777777" w:rsidR="00753DEE" w:rsidRDefault="00F02DE0">
      <w:pPr>
        <w:pStyle w:val="Compact"/>
        <w:numPr>
          <w:ilvl w:val="0"/>
          <w:numId w:val="87"/>
        </w:numPr>
      </w:pPr>
      <w:r>
        <w:t>HTTP-Method: POST</w:t>
      </w:r>
    </w:p>
    <w:p w14:paraId="3BC2BA59" w14:textId="77777777" w:rsidR="00753DEE" w:rsidRDefault="00F02DE0">
      <w:pPr>
        <w:pStyle w:val="Compact"/>
        <w:numPr>
          <w:ilvl w:val="0"/>
          <w:numId w:val="87"/>
        </w:numPr>
      </w:pPr>
      <w:r>
        <w:t>Cookies: Session-Cookies (optional)</w:t>
      </w:r>
    </w:p>
    <w:p w14:paraId="3873AB65" w14:textId="77777777" w:rsidR="00753DEE" w:rsidRDefault="00F02DE0">
      <w:pPr>
        <w:pStyle w:val="Compact"/>
        <w:numPr>
          <w:ilvl w:val="0"/>
          <w:numId w:val="87"/>
        </w:numPr>
      </w:pPr>
      <w:r>
        <w:t>Content-Type: application/</w:t>
      </w:r>
      <w:proofErr w:type="spellStart"/>
      <w:r>
        <w:t>json</w:t>
      </w:r>
      <w:proofErr w:type="spellEnd"/>
    </w:p>
    <w:p w14:paraId="4883195B" w14:textId="77777777" w:rsidR="00753DEE" w:rsidRDefault="00F02DE0">
      <w:pPr>
        <w:pStyle w:val="Heading4"/>
      </w:pPr>
      <w:bookmarkStart w:id="104" w:name="Xf659f104fee1cbe5ede5c8bbc46def5fb0e211e"/>
      <w:r>
        <w:lastRenderedPageBreak/>
        <w:t>Operation Functionality</w:t>
      </w:r>
    </w:p>
    <w:p w14:paraId="6870A5D4" w14:textId="77777777" w:rsidR="00753DEE" w:rsidRDefault="00F02DE0">
      <w:pPr>
        <w:pStyle w:val="FirstParagraph"/>
      </w:pPr>
      <w:r>
        <w:t xml:space="preserve">In most cases the Upload by Link operation will take place as part of a subscription, initiated by the data consumer. It must be used instead of the Upload operation when the S-125 datasets to be transmitted exceed 350 </w:t>
      </w:r>
      <w:proofErr w:type="spellStart"/>
      <w:r>
        <w:t>kbs</w:t>
      </w:r>
      <w:proofErr w:type="spellEnd"/>
      <w:r>
        <w:t xml:space="preserve">. In those cases, the </w:t>
      </w:r>
      <w:proofErr w:type="spellStart"/>
      <w:r>
        <w:rPr>
          <w:rStyle w:val="VerbatimChar"/>
        </w:rPr>
        <w:t>fromSubscription</w:t>
      </w:r>
      <w:proofErr w:type="spellEnd"/>
      <w:r>
        <w:t xml:space="preserve"> parameters is expected to be set to </w:t>
      </w:r>
      <w:r>
        <w:rPr>
          <w:rStyle w:val="VerbatimChar"/>
        </w:rPr>
        <w:t>true</w:t>
      </w:r>
      <w:r>
        <w:t xml:space="preserve">. There </w:t>
      </w:r>
      <w:proofErr w:type="gramStart"/>
      <w:r>
        <w:t>might</w:t>
      </w:r>
      <w:proofErr w:type="gramEnd"/>
      <w:r>
        <w:t xml:space="preserve"> however, be cases where urgent </w:t>
      </w:r>
      <w:proofErr w:type="spellStart"/>
      <w:r>
        <w:t>AtoN</w:t>
      </w:r>
      <w:proofErr w:type="spellEnd"/>
      <w:r>
        <w:t xml:space="preserve"> information might need to be broadcasted, therefore data consumer uploads may also take place outside active subscriptions. These cases however are not covered by this service design.</w:t>
      </w:r>
    </w:p>
    <w:p w14:paraId="449693D3" w14:textId="77777777" w:rsidR="00753DEE" w:rsidRDefault="00F02DE0">
      <w:pPr>
        <w:pStyle w:val="BodyText"/>
      </w:pPr>
      <w:r>
        <w:t>This interface operation may on request consume the following provider interfaces:</w:t>
      </w:r>
    </w:p>
    <w:p w14:paraId="5FB1EF60" w14:textId="77777777" w:rsidR="00753DEE" w:rsidRDefault="00F02DE0">
      <w:pPr>
        <w:pStyle w:val="Compact"/>
        <w:numPr>
          <w:ilvl w:val="0"/>
          <w:numId w:val="88"/>
        </w:numPr>
      </w:pPr>
      <w:r>
        <w:t>Acknowledgement</w:t>
      </w:r>
    </w:p>
    <w:p w14:paraId="48391B07" w14:textId="77777777" w:rsidR="00753DEE" w:rsidRDefault="00F02DE0">
      <w:pPr>
        <w:pStyle w:val="FirstParagraph"/>
      </w:pPr>
      <w:r>
        <w:t xml:space="preserve">In an upload by link operation, an acknowledgement can be requested via the </w:t>
      </w:r>
      <w:proofErr w:type="spellStart"/>
      <w:r>
        <w:rPr>
          <w:rStyle w:val="VerbatimChar"/>
        </w:rPr>
        <w:t>ackRequest</w:t>
      </w:r>
      <w:proofErr w:type="spellEnd"/>
      <w:r>
        <w:t xml:space="preserve"> parameter. The acknowledgment is expected to be received when the uploaded S-125 dataset has been delivered to the end‑system (technical acknowledgement), and/or (if supported) when the message has been opened/read by the end‑user (operational acknowledgement).</w:t>
      </w:r>
    </w:p>
    <w:p w14:paraId="51CEBDA0" w14:textId="77777777" w:rsidR="00753DEE" w:rsidRDefault="00F02DE0">
      <w:pPr>
        <w:pStyle w:val="BodyText"/>
      </w:pPr>
      <w:r>
        <w:t xml:space="preserve">The data consumer may then use the URL available in the </w:t>
      </w:r>
      <w:proofErr w:type="spellStart"/>
      <w:r>
        <w:rPr>
          <w:rStyle w:val="VerbatimChar"/>
        </w:rPr>
        <w:t>callbackEndpoint</w:t>
      </w:r>
      <w:proofErr w:type="spellEnd"/>
      <w:r>
        <w:t xml:space="preserve"> parameter to contact the data provider directly and get the advertised S-125 datasets, as well as send the required acknowledgement. In the absence of a valid callback endpoint value, the data consumer may discover the server URL utilising an appropriate Service Registry (e.g. MSR). The data provider can be identified through its MRN, contained in the HTTPS request certificate provided during the TLS/SSL authentication step, as in Section 6.2.4.1. More information on the dynamic behaviour o</w:t>
      </w:r>
      <w:r>
        <w:t>f this operation and its relation to the SECOM-compliant service registry is provided in Section 7.2.</w:t>
      </w:r>
    </w:p>
    <w:p w14:paraId="034D740D" w14:textId="77777777" w:rsidR="00753DEE" w:rsidRDefault="00F02DE0">
      <w:pPr>
        <w:pStyle w:val="BodyText"/>
      </w:pPr>
      <w:r>
        <w:t>As in the Upload operation described previously, this operation supports multiple other parameters, which are presented in more detail in Table 9. To ensure the authenticity of the operation request, these parameters are included within a signed SECOM envelope structure.</w:t>
      </w:r>
    </w:p>
    <w:p w14:paraId="4D69D0CB" w14:textId="77777777" w:rsidR="00753DEE" w:rsidRDefault="00F02DE0">
      <w:pPr>
        <w:pStyle w:val="Heading4"/>
      </w:pPr>
      <w:bookmarkStart w:id="105" w:name="X55badd61dc3ff910f34569529cbc22b81634e8a"/>
      <w:bookmarkEnd w:id="100"/>
      <w:r>
        <w:t>Operation Parameters</w:t>
      </w:r>
    </w:p>
    <w:p w14:paraId="6F7BCCD1" w14:textId="77777777" w:rsidR="00753DEE" w:rsidRDefault="00F02DE0">
      <w:pPr>
        <w:pStyle w:val="TableCaption"/>
      </w:pPr>
      <w:bookmarkStart w:id="106" w:name="_Toc225155443"/>
      <w:bookmarkStart w:id="107" w:name="tbl:upload_by_link_operation_parameters"/>
      <w:r>
        <w:t>The Upload Operation Parameters.</w:t>
      </w:r>
      <w:bookmarkEnd w:id="106"/>
    </w:p>
    <w:tbl>
      <w:tblPr>
        <w:tblStyle w:val="Table"/>
        <w:tblW w:w="5000" w:type="pct"/>
        <w:tblLayout w:type="fixed"/>
        <w:tblLook w:val="0020" w:firstRow="1" w:lastRow="0" w:firstColumn="0" w:lastColumn="0" w:noHBand="0" w:noVBand="0"/>
        <w:tblCaption w:val="The Upload Operation Parameters."/>
      </w:tblPr>
      <w:tblGrid>
        <w:gridCol w:w="2548"/>
        <w:gridCol w:w="2549"/>
        <w:gridCol w:w="2549"/>
        <w:gridCol w:w="2549"/>
      </w:tblGrid>
      <w:tr w:rsidR="00753DEE" w14:paraId="103AF4FE"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7B6D734B" w14:textId="77777777" w:rsidR="00753DEE" w:rsidRDefault="00F02DE0">
            <w:pPr>
              <w:pStyle w:val="Compact"/>
            </w:pPr>
            <w:r>
              <w:t>Parameters (in)</w:t>
            </w:r>
          </w:p>
        </w:tc>
        <w:tc>
          <w:tcPr>
            <w:tcW w:w="1980" w:type="dxa"/>
          </w:tcPr>
          <w:p w14:paraId="30ED10BD" w14:textId="77777777" w:rsidR="00753DEE" w:rsidRDefault="00F02DE0">
            <w:pPr>
              <w:pStyle w:val="Compact"/>
            </w:pPr>
            <w:r>
              <w:t>Encoding</w:t>
            </w:r>
          </w:p>
        </w:tc>
        <w:tc>
          <w:tcPr>
            <w:tcW w:w="1980" w:type="dxa"/>
          </w:tcPr>
          <w:p w14:paraId="11A7EC51" w14:textId="77777777" w:rsidR="00753DEE" w:rsidRDefault="00F02DE0">
            <w:pPr>
              <w:pStyle w:val="Compact"/>
            </w:pPr>
            <w:r>
              <w:t>Mult.</w:t>
            </w:r>
          </w:p>
        </w:tc>
        <w:tc>
          <w:tcPr>
            <w:tcW w:w="1980" w:type="dxa"/>
          </w:tcPr>
          <w:p w14:paraId="7221A81A" w14:textId="77777777" w:rsidR="00753DEE" w:rsidRDefault="00F02DE0">
            <w:pPr>
              <w:pStyle w:val="Compact"/>
            </w:pPr>
            <w:r>
              <w:t>Descriptions</w:t>
            </w:r>
          </w:p>
        </w:tc>
      </w:tr>
      <w:tr w:rsidR="00753DEE" w14:paraId="150A53E3" w14:textId="77777777">
        <w:tc>
          <w:tcPr>
            <w:tcW w:w="1980" w:type="dxa"/>
          </w:tcPr>
          <w:p w14:paraId="40D57E61" w14:textId="77777777" w:rsidR="00753DEE" w:rsidRDefault="00F02DE0">
            <w:pPr>
              <w:pStyle w:val="Compact"/>
            </w:pPr>
            <w:proofErr w:type="spellStart"/>
            <w:r>
              <w:t>containerType</w:t>
            </w:r>
            <w:proofErr w:type="spellEnd"/>
          </w:p>
        </w:tc>
        <w:tc>
          <w:tcPr>
            <w:tcW w:w="1980" w:type="dxa"/>
          </w:tcPr>
          <w:p w14:paraId="595E1B5D" w14:textId="77777777" w:rsidR="00753DEE" w:rsidRDefault="00F02DE0">
            <w:pPr>
              <w:pStyle w:val="Compact"/>
            </w:pPr>
            <w:r>
              <w:t>Integer</w:t>
            </w:r>
          </w:p>
        </w:tc>
        <w:tc>
          <w:tcPr>
            <w:tcW w:w="1980" w:type="dxa"/>
          </w:tcPr>
          <w:p w14:paraId="0A4CAD9C" w14:textId="77777777" w:rsidR="00753DEE" w:rsidRDefault="00F02DE0">
            <w:pPr>
              <w:pStyle w:val="Compact"/>
            </w:pPr>
            <w:r>
              <w:t>0..1</w:t>
            </w:r>
          </w:p>
        </w:tc>
        <w:tc>
          <w:tcPr>
            <w:tcW w:w="1980" w:type="dxa"/>
          </w:tcPr>
          <w:p w14:paraId="3AACDF96" w14:textId="77777777" w:rsidR="00753DEE" w:rsidRDefault="00F02DE0">
            <w:pPr>
              <w:pStyle w:val="Compact"/>
            </w:pPr>
            <w:r>
              <w:t>Requested encoding of the data as described in [2]. If not provided, the service provider determines the standard encoding.</w:t>
            </w:r>
          </w:p>
        </w:tc>
      </w:tr>
      <w:tr w:rsidR="00753DEE" w14:paraId="5E7CF4BD" w14:textId="77777777">
        <w:tc>
          <w:tcPr>
            <w:tcW w:w="1980" w:type="dxa"/>
          </w:tcPr>
          <w:p w14:paraId="4840EF80" w14:textId="77777777" w:rsidR="00753DEE" w:rsidRDefault="00F02DE0">
            <w:pPr>
              <w:pStyle w:val="Compact"/>
            </w:pPr>
            <w:proofErr w:type="spellStart"/>
            <w:r>
              <w:t>dataProductType</w:t>
            </w:r>
            <w:proofErr w:type="spellEnd"/>
          </w:p>
        </w:tc>
        <w:tc>
          <w:tcPr>
            <w:tcW w:w="1980" w:type="dxa"/>
          </w:tcPr>
          <w:p w14:paraId="7E30D8A3" w14:textId="77777777" w:rsidR="00753DEE" w:rsidRDefault="00F02DE0">
            <w:pPr>
              <w:pStyle w:val="Compact"/>
            </w:pPr>
            <w:r>
              <w:t>String</w:t>
            </w:r>
          </w:p>
        </w:tc>
        <w:tc>
          <w:tcPr>
            <w:tcW w:w="1980" w:type="dxa"/>
          </w:tcPr>
          <w:p w14:paraId="32F3EEEF" w14:textId="77777777" w:rsidR="00753DEE" w:rsidRDefault="00F02DE0">
            <w:pPr>
              <w:pStyle w:val="Compact"/>
            </w:pPr>
            <w:r>
              <w:t>0..1</w:t>
            </w:r>
          </w:p>
        </w:tc>
        <w:tc>
          <w:tcPr>
            <w:tcW w:w="1980" w:type="dxa"/>
          </w:tcPr>
          <w:p w14:paraId="53221B44" w14:textId="77777777" w:rsidR="00753DEE" w:rsidRDefault="00F02DE0">
            <w:pPr>
              <w:pStyle w:val="Compact"/>
            </w:pPr>
            <w:r>
              <w:t>Data product type as described in [2].</w:t>
            </w:r>
          </w:p>
        </w:tc>
      </w:tr>
      <w:tr w:rsidR="00753DEE" w14:paraId="572E4DBA" w14:textId="77777777">
        <w:tc>
          <w:tcPr>
            <w:tcW w:w="1980" w:type="dxa"/>
          </w:tcPr>
          <w:p w14:paraId="7AC5EC38" w14:textId="77777777" w:rsidR="00753DEE" w:rsidRDefault="00F02DE0">
            <w:pPr>
              <w:pStyle w:val="Compact"/>
            </w:pPr>
            <w:proofErr w:type="spellStart"/>
            <w:r>
              <w:t>exchangeMetadata</w:t>
            </w:r>
            <w:proofErr w:type="spellEnd"/>
          </w:p>
        </w:tc>
        <w:tc>
          <w:tcPr>
            <w:tcW w:w="1980" w:type="dxa"/>
          </w:tcPr>
          <w:p w14:paraId="16042053" w14:textId="77777777" w:rsidR="00753DEE" w:rsidRDefault="00F02DE0">
            <w:pPr>
              <w:pStyle w:val="Compact"/>
            </w:pPr>
            <w:proofErr w:type="spellStart"/>
            <w:r>
              <w:t>SECOM_ExchangeMetadata</w:t>
            </w:r>
            <w:proofErr w:type="spellEnd"/>
            <w:r>
              <w:t xml:space="preserve"> as defined in [2]</w:t>
            </w:r>
          </w:p>
        </w:tc>
        <w:tc>
          <w:tcPr>
            <w:tcW w:w="1980" w:type="dxa"/>
          </w:tcPr>
          <w:p w14:paraId="3758CCEC" w14:textId="77777777" w:rsidR="00753DEE" w:rsidRDefault="00F02DE0">
            <w:pPr>
              <w:pStyle w:val="Compact"/>
            </w:pPr>
            <w:r>
              <w:t>1</w:t>
            </w:r>
          </w:p>
        </w:tc>
        <w:tc>
          <w:tcPr>
            <w:tcW w:w="1980" w:type="dxa"/>
          </w:tcPr>
          <w:p w14:paraId="64BA391F" w14:textId="77777777" w:rsidR="00753DEE" w:rsidRDefault="00F02DE0">
            <w:pPr>
              <w:pStyle w:val="Compact"/>
            </w:pPr>
            <w:r>
              <w:t>The exchange metadata that contains information regarding the protection scheme, compression, signature and claimed identity.</w:t>
            </w:r>
          </w:p>
        </w:tc>
      </w:tr>
      <w:tr w:rsidR="00753DEE" w14:paraId="3DAEAB14" w14:textId="77777777">
        <w:tc>
          <w:tcPr>
            <w:tcW w:w="1980" w:type="dxa"/>
          </w:tcPr>
          <w:p w14:paraId="2668AEE4" w14:textId="77777777" w:rsidR="00753DEE" w:rsidRDefault="00F02DE0">
            <w:pPr>
              <w:pStyle w:val="Compact"/>
            </w:pPr>
            <w:proofErr w:type="spellStart"/>
            <w:r>
              <w:t>fromSubscription</w:t>
            </w:r>
            <w:proofErr w:type="spellEnd"/>
          </w:p>
        </w:tc>
        <w:tc>
          <w:tcPr>
            <w:tcW w:w="1980" w:type="dxa"/>
          </w:tcPr>
          <w:p w14:paraId="190A1DE6" w14:textId="77777777" w:rsidR="00753DEE" w:rsidRDefault="00F02DE0">
            <w:pPr>
              <w:pStyle w:val="Compact"/>
            </w:pPr>
            <w:r>
              <w:t>Boolean</w:t>
            </w:r>
          </w:p>
        </w:tc>
        <w:tc>
          <w:tcPr>
            <w:tcW w:w="1980" w:type="dxa"/>
          </w:tcPr>
          <w:p w14:paraId="3429B575" w14:textId="77777777" w:rsidR="00753DEE" w:rsidRDefault="00F02DE0">
            <w:pPr>
              <w:pStyle w:val="Compact"/>
            </w:pPr>
            <w:r>
              <w:t>1</w:t>
            </w:r>
          </w:p>
        </w:tc>
        <w:tc>
          <w:tcPr>
            <w:tcW w:w="1980" w:type="dxa"/>
          </w:tcPr>
          <w:p w14:paraId="3F23061F" w14:textId="77777777" w:rsidR="00753DEE" w:rsidRDefault="00F02DE0">
            <w:pPr>
              <w:pStyle w:val="Compact"/>
            </w:pPr>
            <w:r>
              <w:t>A flag that indicates whether the data has been uploaded within an active subscription or not.</w:t>
            </w:r>
          </w:p>
        </w:tc>
      </w:tr>
      <w:tr w:rsidR="00753DEE" w14:paraId="3AA11362" w14:textId="77777777">
        <w:tc>
          <w:tcPr>
            <w:tcW w:w="1980" w:type="dxa"/>
          </w:tcPr>
          <w:p w14:paraId="70E5F39B" w14:textId="77777777" w:rsidR="00753DEE" w:rsidRDefault="00F02DE0">
            <w:pPr>
              <w:pStyle w:val="Compact"/>
            </w:pPr>
            <w:proofErr w:type="spellStart"/>
            <w:r>
              <w:t>subscriptionIdentifier</w:t>
            </w:r>
            <w:proofErr w:type="spellEnd"/>
          </w:p>
        </w:tc>
        <w:tc>
          <w:tcPr>
            <w:tcW w:w="1980" w:type="dxa"/>
          </w:tcPr>
          <w:p w14:paraId="40BF7D3E" w14:textId="77777777" w:rsidR="00753DEE" w:rsidRDefault="00F02DE0">
            <w:pPr>
              <w:pStyle w:val="Compact"/>
            </w:pPr>
            <w:r>
              <w:t>UUID</w:t>
            </w:r>
          </w:p>
        </w:tc>
        <w:tc>
          <w:tcPr>
            <w:tcW w:w="1980" w:type="dxa"/>
          </w:tcPr>
          <w:p w14:paraId="0D3477C9" w14:textId="77777777" w:rsidR="00753DEE" w:rsidRDefault="00F02DE0">
            <w:pPr>
              <w:pStyle w:val="Compact"/>
            </w:pPr>
            <w:r>
              <w:t>0..1</w:t>
            </w:r>
          </w:p>
        </w:tc>
        <w:tc>
          <w:tcPr>
            <w:tcW w:w="1980" w:type="dxa"/>
          </w:tcPr>
          <w:p w14:paraId="30E41FB4" w14:textId="77777777" w:rsidR="00753DEE" w:rsidRDefault="00F02DE0">
            <w:pPr>
              <w:pStyle w:val="Compact"/>
            </w:pPr>
            <w:r>
              <w:t>Subscription identifier is specified if the object is uploaded within a subscription.</w:t>
            </w:r>
          </w:p>
        </w:tc>
      </w:tr>
      <w:tr w:rsidR="00753DEE" w14:paraId="48BCEF41" w14:textId="77777777">
        <w:tc>
          <w:tcPr>
            <w:tcW w:w="1980" w:type="dxa"/>
          </w:tcPr>
          <w:p w14:paraId="50716C05" w14:textId="77777777" w:rsidR="00753DEE" w:rsidRDefault="00F02DE0">
            <w:pPr>
              <w:pStyle w:val="Compact"/>
            </w:pPr>
            <w:proofErr w:type="spellStart"/>
            <w:r>
              <w:t>ackRequest</w:t>
            </w:r>
            <w:proofErr w:type="spellEnd"/>
          </w:p>
        </w:tc>
        <w:tc>
          <w:tcPr>
            <w:tcW w:w="1980" w:type="dxa"/>
          </w:tcPr>
          <w:p w14:paraId="2A49D85B" w14:textId="77777777" w:rsidR="00753DEE" w:rsidRDefault="00F02DE0">
            <w:pPr>
              <w:pStyle w:val="Compact"/>
            </w:pPr>
            <w:proofErr w:type="spellStart"/>
            <w:r>
              <w:t>AckRequestEnum</w:t>
            </w:r>
            <w:proofErr w:type="spellEnd"/>
            <w:r>
              <w:t xml:space="preserve"> as defined in [2]</w:t>
            </w:r>
          </w:p>
        </w:tc>
        <w:tc>
          <w:tcPr>
            <w:tcW w:w="1980" w:type="dxa"/>
          </w:tcPr>
          <w:p w14:paraId="6DFDDB0B" w14:textId="77777777" w:rsidR="00753DEE" w:rsidRDefault="00F02DE0">
            <w:pPr>
              <w:pStyle w:val="Compact"/>
            </w:pPr>
            <w:r>
              <w:t>1</w:t>
            </w:r>
          </w:p>
        </w:tc>
        <w:tc>
          <w:tcPr>
            <w:tcW w:w="1980" w:type="dxa"/>
          </w:tcPr>
          <w:p w14:paraId="3EC939D8" w14:textId="77777777" w:rsidR="00753DEE" w:rsidRDefault="00F02DE0">
            <w:pPr>
              <w:pStyle w:val="Compact"/>
            </w:pPr>
            <w:r>
              <w:t xml:space="preserve">Flag to indicate that acknowledgement is </w:t>
            </w:r>
            <w:r>
              <w:lastRenderedPageBreak/>
              <w:t>expected to be returned when the data is delivered to the end user, and/or when the content of the data is processed (opened) by the end user.</w:t>
            </w:r>
          </w:p>
        </w:tc>
      </w:tr>
      <w:tr w:rsidR="00753DEE" w14:paraId="279E76C9" w14:textId="77777777">
        <w:tc>
          <w:tcPr>
            <w:tcW w:w="1980" w:type="dxa"/>
          </w:tcPr>
          <w:p w14:paraId="13337E03" w14:textId="77777777" w:rsidR="00753DEE" w:rsidRDefault="00F02DE0">
            <w:pPr>
              <w:pStyle w:val="Compact"/>
            </w:pPr>
            <w:proofErr w:type="spellStart"/>
            <w:r>
              <w:lastRenderedPageBreak/>
              <w:t>callbackEndpoint</w:t>
            </w:r>
            <w:proofErr w:type="spellEnd"/>
          </w:p>
        </w:tc>
        <w:tc>
          <w:tcPr>
            <w:tcW w:w="1980" w:type="dxa"/>
          </w:tcPr>
          <w:p w14:paraId="3975F40F" w14:textId="77777777" w:rsidR="00753DEE" w:rsidRDefault="00F02DE0">
            <w:pPr>
              <w:pStyle w:val="Compact"/>
            </w:pPr>
            <w:r>
              <w:t>URL</w:t>
            </w:r>
          </w:p>
        </w:tc>
        <w:tc>
          <w:tcPr>
            <w:tcW w:w="1980" w:type="dxa"/>
          </w:tcPr>
          <w:p w14:paraId="7D20BB69" w14:textId="77777777" w:rsidR="00753DEE" w:rsidRDefault="00F02DE0">
            <w:pPr>
              <w:pStyle w:val="Compact"/>
            </w:pPr>
            <w:r>
              <w:t>0..1</w:t>
            </w:r>
          </w:p>
        </w:tc>
        <w:tc>
          <w:tcPr>
            <w:tcW w:w="1980" w:type="dxa"/>
          </w:tcPr>
          <w:p w14:paraId="6BC2B4C9" w14:textId="77777777" w:rsidR="00753DEE" w:rsidRDefault="00F02DE0">
            <w:pPr>
              <w:pStyle w:val="Compact"/>
            </w:pPr>
            <w:r>
              <w:t>Base URL without trailing slash to the requestor SECOM service Endpoint where to send an acknowledgement. If not available, the endpoint needs to be available through the search service.</w:t>
            </w:r>
          </w:p>
        </w:tc>
      </w:tr>
      <w:tr w:rsidR="00753DEE" w14:paraId="318BA18C" w14:textId="77777777">
        <w:tc>
          <w:tcPr>
            <w:tcW w:w="1980" w:type="dxa"/>
          </w:tcPr>
          <w:p w14:paraId="053FC8ED" w14:textId="77777777" w:rsidR="00753DEE" w:rsidRDefault="00F02DE0">
            <w:pPr>
              <w:pStyle w:val="Compact"/>
            </w:pPr>
            <w:proofErr w:type="spellStart"/>
            <w:r>
              <w:t>transactionIdentifier</w:t>
            </w:r>
            <w:proofErr w:type="spellEnd"/>
          </w:p>
        </w:tc>
        <w:tc>
          <w:tcPr>
            <w:tcW w:w="1980" w:type="dxa"/>
          </w:tcPr>
          <w:p w14:paraId="7B0BDFA5" w14:textId="77777777" w:rsidR="00753DEE" w:rsidRDefault="00F02DE0">
            <w:pPr>
              <w:pStyle w:val="Compact"/>
            </w:pPr>
            <w:r>
              <w:t>UUID</w:t>
            </w:r>
          </w:p>
        </w:tc>
        <w:tc>
          <w:tcPr>
            <w:tcW w:w="1980" w:type="dxa"/>
          </w:tcPr>
          <w:p w14:paraId="118FBBF3" w14:textId="77777777" w:rsidR="00753DEE" w:rsidRDefault="00F02DE0">
            <w:pPr>
              <w:pStyle w:val="Compact"/>
            </w:pPr>
            <w:r>
              <w:t>1</w:t>
            </w:r>
          </w:p>
        </w:tc>
        <w:tc>
          <w:tcPr>
            <w:tcW w:w="1980" w:type="dxa"/>
          </w:tcPr>
          <w:p w14:paraId="522A0842" w14:textId="77777777" w:rsidR="00753DEE" w:rsidRDefault="00F02DE0">
            <w:pPr>
              <w:pStyle w:val="Compact"/>
            </w:pPr>
            <w:r>
              <w:t>Unique transaction UUID to be used e.g. in acknowledgement.</w:t>
            </w:r>
          </w:p>
        </w:tc>
      </w:tr>
      <w:tr w:rsidR="00753DEE" w14:paraId="6FB30DD3" w14:textId="77777777">
        <w:tc>
          <w:tcPr>
            <w:tcW w:w="1980" w:type="dxa"/>
          </w:tcPr>
          <w:p w14:paraId="54C13BF8" w14:textId="77777777" w:rsidR="00753DEE" w:rsidRDefault="00F02DE0">
            <w:pPr>
              <w:pStyle w:val="Compact"/>
            </w:pPr>
            <w:proofErr w:type="spellStart"/>
            <w:r>
              <w:t>envelopeSignatureCertificate</w:t>
            </w:r>
            <w:proofErr w:type="spellEnd"/>
          </w:p>
        </w:tc>
        <w:tc>
          <w:tcPr>
            <w:tcW w:w="1980" w:type="dxa"/>
          </w:tcPr>
          <w:p w14:paraId="14267735" w14:textId="77777777" w:rsidR="00753DEE" w:rsidRDefault="00F02DE0">
            <w:pPr>
              <w:pStyle w:val="Compact"/>
            </w:pPr>
            <w:r>
              <w:t>String</w:t>
            </w:r>
          </w:p>
        </w:tc>
        <w:tc>
          <w:tcPr>
            <w:tcW w:w="1980" w:type="dxa"/>
          </w:tcPr>
          <w:p w14:paraId="22B7E520" w14:textId="77777777" w:rsidR="00753DEE" w:rsidRDefault="00F02DE0">
            <w:pPr>
              <w:pStyle w:val="Compact"/>
            </w:pPr>
            <w:proofErr w:type="gramStart"/>
            <w:r>
              <w:t>1..*</w:t>
            </w:r>
            <w:proofErr w:type="gramEnd"/>
          </w:p>
        </w:tc>
        <w:tc>
          <w:tcPr>
            <w:tcW w:w="1980" w:type="dxa"/>
          </w:tcPr>
          <w:p w14:paraId="03DDD14C" w14:textId="77777777" w:rsidR="00753DEE" w:rsidRDefault="00F02DE0">
            <w:pPr>
              <w:pStyle w:val="Compact"/>
            </w:pPr>
            <w:r>
              <w:t>The public certificate(s) of the sender. Used to verify the envelope object signature.</w:t>
            </w:r>
          </w:p>
        </w:tc>
      </w:tr>
      <w:tr w:rsidR="00753DEE" w14:paraId="5DF8DF48" w14:textId="77777777">
        <w:tc>
          <w:tcPr>
            <w:tcW w:w="1980" w:type="dxa"/>
          </w:tcPr>
          <w:p w14:paraId="432640DA" w14:textId="77777777" w:rsidR="00753DEE" w:rsidRDefault="00F02DE0">
            <w:pPr>
              <w:pStyle w:val="Compact"/>
            </w:pPr>
            <w:proofErr w:type="spellStart"/>
            <w:r>
              <w:t>envelopeRootCertificateThumbprint</w:t>
            </w:r>
            <w:proofErr w:type="spellEnd"/>
          </w:p>
        </w:tc>
        <w:tc>
          <w:tcPr>
            <w:tcW w:w="1980" w:type="dxa"/>
          </w:tcPr>
          <w:p w14:paraId="2D92C5EF" w14:textId="77777777" w:rsidR="00753DEE" w:rsidRDefault="00F02DE0">
            <w:pPr>
              <w:pStyle w:val="Compact"/>
            </w:pPr>
            <w:r>
              <w:t>String</w:t>
            </w:r>
          </w:p>
        </w:tc>
        <w:tc>
          <w:tcPr>
            <w:tcW w:w="1980" w:type="dxa"/>
          </w:tcPr>
          <w:p w14:paraId="72C03A63" w14:textId="77777777" w:rsidR="00753DEE" w:rsidRDefault="00F02DE0">
            <w:pPr>
              <w:pStyle w:val="Compact"/>
            </w:pPr>
            <w:r>
              <w:t>1</w:t>
            </w:r>
          </w:p>
        </w:tc>
        <w:tc>
          <w:tcPr>
            <w:tcW w:w="1980" w:type="dxa"/>
          </w:tcPr>
          <w:p w14:paraId="538CDCA1" w14:textId="77777777" w:rsidR="00753DEE" w:rsidRDefault="00F02DE0">
            <w:pPr>
              <w:pStyle w:val="Compact"/>
            </w:pPr>
            <w:r>
              <w:t>Claimed Thumbprint for Signed Root Key (X.509 Certificate) SHA256 and base64 as format</w:t>
            </w:r>
          </w:p>
        </w:tc>
      </w:tr>
      <w:tr w:rsidR="00753DEE" w14:paraId="717A4F90" w14:textId="77777777">
        <w:tc>
          <w:tcPr>
            <w:tcW w:w="1980" w:type="dxa"/>
          </w:tcPr>
          <w:p w14:paraId="2F9AC258" w14:textId="77777777" w:rsidR="00753DEE" w:rsidRDefault="00F02DE0">
            <w:pPr>
              <w:pStyle w:val="Compact"/>
            </w:pPr>
            <w:r>
              <w:t>size</w:t>
            </w:r>
          </w:p>
        </w:tc>
        <w:tc>
          <w:tcPr>
            <w:tcW w:w="1980" w:type="dxa"/>
          </w:tcPr>
          <w:p w14:paraId="5F1E871A" w14:textId="77777777" w:rsidR="00753DEE" w:rsidRDefault="00F02DE0">
            <w:pPr>
              <w:pStyle w:val="Compact"/>
            </w:pPr>
            <w:r>
              <w:t>Integer</w:t>
            </w:r>
          </w:p>
        </w:tc>
        <w:tc>
          <w:tcPr>
            <w:tcW w:w="1980" w:type="dxa"/>
          </w:tcPr>
          <w:p w14:paraId="3131E82F" w14:textId="77777777" w:rsidR="00753DEE" w:rsidRDefault="00F02DE0">
            <w:pPr>
              <w:pStyle w:val="Compact"/>
            </w:pPr>
            <w:r>
              <w:t>1</w:t>
            </w:r>
          </w:p>
        </w:tc>
        <w:tc>
          <w:tcPr>
            <w:tcW w:w="1980" w:type="dxa"/>
          </w:tcPr>
          <w:p w14:paraId="62A51097" w14:textId="77777777" w:rsidR="00753DEE" w:rsidRDefault="00F02DE0">
            <w:pPr>
              <w:pStyle w:val="Compact"/>
            </w:pPr>
            <w:r>
              <w:t xml:space="preserve">Size of the data in </w:t>
            </w:r>
            <w:proofErr w:type="spellStart"/>
            <w:r>
              <w:t>kBytes</w:t>
            </w:r>
            <w:proofErr w:type="spellEnd"/>
            <w:r>
              <w:t xml:space="preserve"> to be downloaded.</w:t>
            </w:r>
          </w:p>
        </w:tc>
      </w:tr>
      <w:tr w:rsidR="00753DEE" w14:paraId="04F66AAE" w14:textId="77777777">
        <w:tc>
          <w:tcPr>
            <w:tcW w:w="1980" w:type="dxa"/>
          </w:tcPr>
          <w:p w14:paraId="7C4B37ED" w14:textId="77777777" w:rsidR="00753DEE" w:rsidRDefault="00F02DE0">
            <w:pPr>
              <w:pStyle w:val="Compact"/>
            </w:pPr>
            <w:proofErr w:type="spellStart"/>
            <w:r>
              <w:t>timeToLive</w:t>
            </w:r>
            <w:proofErr w:type="spellEnd"/>
          </w:p>
        </w:tc>
        <w:tc>
          <w:tcPr>
            <w:tcW w:w="1980" w:type="dxa"/>
          </w:tcPr>
          <w:p w14:paraId="6CAD7F99" w14:textId="77777777" w:rsidR="00753DEE" w:rsidRDefault="00F02DE0">
            <w:pPr>
              <w:pStyle w:val="Compact"/>
            </w:pPr>
            <w:proofErr w:type="spellStart"/>
            <w:r>
              <w:t>DateTime</w:t>
            </w:r>
            <w:proofErr w:type="spellEnd"/>
          </w:p>
        </w:tc>
        <w:tc>
          <w:tcPr>
            <w:tcW w:w="1980" w:type="dxa"/>
          </w:tcPr>
          <w:p w14:paraId="5704FE33" w14:textId="77777777" w:rsidR="00753DEE" w:rsidRDefault="00F02DE0">
            <w:pPr>
              <w:pStyle w:val="Compact"/>
            </w:pPr>
            <w:r>
              <w:t>1</w:t>
            </w:r>
          </w:p>
        </w:tc>
        <w:tc>
          <w:tcPr>
            <w:tcW w:w="1980" w:type="dxa"/>
          </w:tcPr>
          <w:p w14:paraId="7598E0D6" w14:textId="77777777" w:rsidR="00753DEE" w:rsidRDefault="00F02DE0">
            <w:pPr>
              <w:pStyle w:val="Compact"/>
            </w:pPr>
            <w:r>
              <w:t xml:space="preserve">Timestamp when data will be deleted on server. The data </w:t>
            </w:r>
            <w:proofErr w:type="gramStart"/>
            <w:r>
              <w:t>need</w:t>
            </w:r>
            <w:proofErr w:type="gramEnd"/>
            <w:r>
              <w:t xml:space="preserve"> to be fetched before this time.</w:t>
            </w:r>
          </w:p>
        </w:tc>
      </w:tr>
      <w:tr w:rsidR="00753DEE" w14:paraId="50BC52A3" w14:textId="77777777">
        <w:tc>
          <w:tcPr>
            <w:tcW w:w="1980" w:type="dxa"/>
          </w:tcPr>
          <w:p w14:paraId="7C674F47" w14:textId="77777777" w:rsidR="00753DEE" w:rsidRDefault="00F02DE0">
            <w:pPr>
              <w:pStyle w:val="Compact"/>
            </w:pPr>
            <w:proofErr w:type="spellStart"/>
            <w:r>
              <w:t>envelopeSignatureTime</w:t>
            </w:r>
            <w:proofErr w:type="spellEnd"/>
          </w:p>
        </w:tc>
        <w:tc>
          <w:tcPr>
            <w:tcW w:w="1980" w:type="dxa"/>
          </w:tcPr>
          <w:p w14:paraId="22594E3B" w14:textId="77777777" w:rsidR="00753DEE" w:rsidRDefault="00F02DE0">
            <w:pPr>
              <w:pStyle w:val="Compact"/>
            </w:pPr>
            <w:proofErr w:type="spellStart"/>
            <w:r>
              <w:t>DateTime</w:t>
            </w:r>
            <w:proofErr w:type="spellEnd"/>
          </w:p>
        </w:tc>
        <w:tc>
          <w:tcPr>
            <w:tcW w:w="1980" w:type="dxa"/>
          </w:tcPr>
          <w:p w14:paraId="571AF597" w14:textId="77777777" w:rsidR="00753DEE" w:rsidRDefault="00F02DE0">
            <w:pPr>
              <w:pStyle w:val="Compact"/>
            </w:pPr>
            <w:r>
              <w:t>1</w:t>
            </w:r>
          </w:p>
        </w:tc>
        <w:tc>
          <w:tcPr>
            <w:tcW w:w="1980" w:type="dxa"/>
          </w:tcPr>
          <w:p w14:paraId="404C789F" w14:textId="77777777" w:rsidR="00753DEE" w:rsidRDefault="00F02DE0">
            <w:pPr>
              <w:pStyle w:val="Compact"/>
            </w:pPr>
            <w:r>
              <w:t>Timestamp when the envelope is signed.</w:t>
            </w:r>
          </w:p>
        </w:tc>
      </w:tr>
      <w:tr w:rsidR="00753DEE" w14:paraId="7CF2F64B" w14:textId="77777777">
        <w:tc>
          <w:tcPr>
            <w:tcW w:w="1980" w:type="dxa"/>
          </w:tcPr>
          <w:p w14:paraId="63BB201D" w14:textId="77777777" w:rsidR="00753DEE" w:rsidRDefault="00F02DE0">
            <w:pPr>
              <w:pStyle w:val="Compact"/>
            </w:pPr>
            <w:proofErr w:type="spellStart"/>
            <w:r>
              <w:t>envelopeSignatureReference</w:t>
            </w:r>
            <w:proofErr w:type="spellEnd"/>
          </w:p>
        </w:tc>
        <w:tc>
          <w:tcPr>
            <w:tcW w:w="1980" w:type="dxa"/>
          </w:tcPr>
          <w:p w14:paraId="1CCBDDC4" w14:textId="77777777" w:rsidR="00753DEE" w:rsidRDefault="00F02DE0">
            <w:pPr>
              <w:pStyle w:val="Compact"/>
            </w:pPr>
            <w:r>
              <w:t>String</w:t>
            </w:r>
          </w:p>
        </w:tc>
        <w:tc>
          <w:tcPr>
            <w:tcW w:w="1980" w:type="dxa"/>
          </w:tcPr>
          <w:p w14:paraId="54076AE3" w14:textId="77777777" w:rsidR="00753DEE" w:rsidRDefault="00F02DE0">
            <w:pPr>
              <w:pStyle w:val="Compact"/>
            </w:pPr>
            <w:r>
              <w:t>1</w:t>
            </w:r>
          </w:p>
        </w:tc>
        <w:tc>
          <w:tcPr>
            <w:tcW w:w="1980" w:type="dxa"/>
          </w:tcPr>
          <w:p w14:paraId="3B9C79A1" w14:textId="77777777" w:rsidR="00753DEE" w:rsidRDefault="00F02DE0">
            <w:pPr>
              <w:pStyle w:val="Compact"/>
            </w:pPr>
            <w:r>
              <w:t xml:space="preserve">(S-100) Specifies the algorithm used to compute the </w:t>
            </w:r>
            <w:proofErr w:type="spellStart"/>
            <w:r>
              <w:t>envelopeSignature</w:t>
            </w:r>
            <w:proofErr w:type="spellEnd"/>
            <w:r>
              <w:t xml:space="preserve"> </w:t>
            </w:r>
            <w:proofErr w:type="gramStart"/>
            <w:r>
              <w:t>For</w:t>
            </w:r>
            <w:proofErr w:type="gramEnd"/>
            <w:r>
              <w:t xml:space="preserve"> example “ECDSA-384-SHA2”</w:t>
            </w:r>
          </w:p>
        </w:tc>
      </w:tr>
    </w:tbl>
    <w:p w14:paraId="0FDF8F2A" w14:textId="77777777" w:rsidR="00753DEE" w:rsidRDefault="00F02DE0">
      <w:pPr>
        <w:pStyle w:val="Heading4"/>
      </w:pPr>
      <w:bookmarkStart w:id="108" w:name="X844cdc36fcad9308ea3994dc77318cb8e7461d4"/>
      <w:bookmarkEnd w:id="101"/>
      <w:bookmarkEnd w:id="103"/>
      <w:r>
        <w:t>Interpretation Guidelines</w:t>
      </w:r>
    </w:p>
    <w:p w14:paraId="0E83F1BD" w14:textId="77777777" w:rsidR="00753DEE" w:rsidRDefault="00F02DE0">
      <w:pPr>
        <w:pStyle w:val="FirstParagraph"/>
      </w:pPr>
      <w:r>
        <w:t>The Upload by Link operation should always be used when the server identifies that the size of the data to be transmitted exceed the predefined SECOM limit, or when the previously attempted upload operation failed with an HTTP 413 error code.</w:t>
      </w:r>
    </w:p>
    <w:p w14:paraId="76DD8AF7" w14:textId="77777777" w:rsidR="00753DEE" w:rsidRDefault="00F02DE0">
      <w:pPr>
        <w:pStyle w:val="BodyText"/>
      </w:pPr>
      <w:r>
        <w:t xml:space="preserve">The data consumer may return HTTP status 403 if the uploaded </w:t>
      </w:r>
      <w:proofErr w:type="spellStart"/>
      <w:r>
        <w:t>AtoN</w:t>
      </w:r>
      <w:proofErr w:type="spellEnd"/>
      <w:r>
        <w:t xml:space="preserve"> information it receives that it has not requested.</w:t>
      </w:r>
    </w:p>
    <w:p w14:paraId="2C29257C" w14:textId="77777777" w:rsidR="00753DEE" w:rsidRDefault="00F02DE0">
      <w:pPr>
        <w:pStyle w:val="Heading3"/>
      </w:pPr>
      <w:bookmarkStart w:id="109" w:name="_Toc225155484"/>
      <w:bookmarkStart w:id="110" w:name="Xa00984e3467d7ce637a243d66299822689381b7"/>
      <w:bookmarkEnd w:id="104"/>
      <w:bookmarkEnd w:id="105"/>
      <w:r>
        <w:t>Operation Acknowledgment</w:t>
      </w:r>
      <w:bookmarkEnd w:id="109"/>
    </w:p>
    <w:p w14:paraId="418FD459" w14:textId="77777777" w:rsidR="00753DEE" w:rsidRDefault="00F02DE0">
      <w:pPr>
        <w:pStyle w:val="FirstParagraph"/>
      </w:pPr>
      <w:r>
        <w:t xml:space="preserve">The </w:t>
      </w:r>
      <w:r>
        <w:rPr>
          <w:i/>
          <w:iCs/>
        </w:rPr>
        <w:t>Acknowledgment</w:t>
      </w:r>
      <w:r>
        <w:t xml:space="preserve"> operation allows data consumers to asynchronously confirm whether an uploaded S-125 dataset has been successfully received and/or opened by an end-user.</w:t>
      </w:r>
    </w:p>
    <w:p w14:paraId="45D22D0E" w14:textId="77777777" w:rsidR="00753DEE" w:rsidRDefault="00F02DE0">
      <w:pPr>
        <w:pStyle w:val="BodyText"/>
      </w:pPr>
      <w:r>
        <w:lastRenderedPageBreak/>
        <w:t xml:space="preserve">It is not yet clear on whether acknowledgements are necessary for the provision of </w:t>
      </w:r>
      <w:proofErr w:type="spellStart"/>
      <w:r>
        <w:t>AtoN</w:t>
      </w:r>
      <w:proofErr w:type="spellEnd"/>
      <w:r>
        <w:t xml:space="preserve"> information to end-users. Regardless, for the purposes of this service </w:t>
      </w:r>
      <w:proofErr w:type="spellStart"/>
      <w:proofErr w:type="gramStart"/>
      <w:r>
        <w:t>design,the</w:t>
      </w:r>
      <w:proofErr w:type="spellEnd"/>
      <w:proofErr w:type="gramEnd"/>
      <w:r>
        <w:t xml:space="preserve"> Acknowledgment operation interface must be implemented only by the data consumers.</w:t>
      </w:r>
    </w:p>
    <w:p w14:paraId="2B1739F2" w14:textId="77777777" w:rsidR="00753DEE" w:rsidRDefault="00F02DE0">
      <w:pPr>
        <w:pStyle w:val="BodyText"/>
      </w:pPr>
      <w:r>
        <w:t>Use of the interface is according to the SECOM specification.</w:t>
      </w:r>
    </w:p>
    <w:p w14:paraId="3516B3CF" w14:textId="77777777" w:rsidR="00753DEE" w:rsidRDefault="00F02DE0">
      <w:pPr>
        <w:pStyle w:val="Compact"/>
        <w:numPr>
          <w:ilvl w:val="0"/>
          <w:numId w:val="89"/>
        </w:numPr>
      </w:pPr>
      <w:r>
        <w:t>Name: Acknowledgment Interface</w:t>
      </w:r>
    </w:p>
    <w:p w14:paraId="42FCDD32" w14:textId="77777777" w:rsidR="00753DEE" w:rsidRDefault="00F02DE0">
      <w:pPr>
        <w:pStyle w:val="Compact"/>
        <w:numPr>
          <w:ilvl w:val="0"/>
          <w:numId w:val="89"/>
        </w:numPr>
      </w:pPr>
      <w:r>
        <w:t>Sub-path: /v2/acknowledgement</w:t>
      </w:r>
    </w:p>
    <w:p w14:paraId="79BEAE90" w14:textId="77777777" w:rsidR="00753DEE" w:rsidRDefault="00F02DE0">
      <w:pPr>
        <w:pStyle w:val="Compact"/>
        <w:numPr>
          <w:ilvl w:val="0"/>
          <w:numId w:val="89"/>
        </w:numPr>
      </w:pPr>
      <w:r>
        <w:t>HTTP-Method: POST</w:t>
      </w:r>
    </w:p>
    <w:p w14:paraId="233BBDA1" w14:textId="77777777" w:rsidR="00753DEE" w:rsidRDefault="00F02DE0">
      <w:pPr>
        <w:pStyle w:val="Compact"/>
        <w:numPr>
          <w:ilvl w:val="0"/>
          <w:numId w:val="89"/>
        </w:numPr>
      </w:pPr>
      <w:r>
        <w:t>Cookies: Session-Cookies (optional)</w:t>
      </w:r>
    </w:p>
    <w:p w14:paraId="45E691F2" w14:textId="77777777" w:rsidR="00753DEE" w:rsidRDefault="00F02DE0">
      <w:pPr>
        <w:pStyle w:val="Compact"/>
        <w:numPr>
          <w:ilvl w:val="0"/>
          <w:numId w:val="89"/>
        </w:numPr>
      </w:pPr>
      <w:r>
        <w:t>Content-Type: application/</w:t>
      </w:r>
      <w:proofErr w:type="spellStart"/>
      <w:r>
        <w:t>json</w:t>
      </w:r>
      <w:proofErr w:type="spellEnd"/>
    </w:p>
    <w:p w14:paraId="3979BD31" w14:textId="77777777" w:rsidR="00753DEE" w:rsidRDefault="00F02DE0">
      <w:pPr>
        <w:pStyle w:val="Heading4"/>
      </w:pPr>
      <w:bookmarkStart w:id="111" w:name="Xf5f3d452c47406964133a5d3df6ef2cf1baf796"/>
      <w:r>
        <w:t>Operation Functionality</w:t>
      </w:r>
    </w:p>
    <w:p w14:paraId="0E5BD732" w14:textId="77777777" w:rsidR="00753DEE" w:rsidRDefault="00F02DE0">
      <w:pPr>
        <w:pStyle w:val="FirstParagraph"/>
      </w:pPr>
      <w:r>
        <w:t xml:space="preserve">The operation validates the given </w:t>
      </w:r>
      <w:proofErr w:type="spellStart"/>
      <w:r>
        <w:rPr>
          <w:rStyle w:val="VerbatimChar"/>
        </w:rPr>
        <w:t>transactionIdentifier</w:t>
      </w:r>
      <w:proofErr w:type="spellEnd"/>
      <w:r>
        <w:t xml:space="preserve"> and handles the acknowledgement of sent data. The acknowledgement can be either for when the S-125 dataset has been delivered, opened or both. The acknowledgement contains a reference to the object delivered and has no time limit.</w:t>
      </w:r>
    </w:p>
    <w:p w14:paraId="745B5D32" w14:textId="77777777" w:rsidR="00753DEE" w:rsidRDefault="00F02DE0">
      <w:pPr>
        <w:pStyle w:val="Heading4"/>
      </w:pPr>
      <w:bookmarkStart w:id="112" w:name="X1f3a8de698efa1da9ccc7231cd5dbcc6bbafe76"/>
      <w:bookmarkEnd w:id="107"/>
      <w:r>
        <w:t>Operation Parameters</w:t>
      </w:r>
    </w:p>
    <w:p w14:paraId="701344AB" w14:textId="77777777" w:rsidR="00753DEE" w:rsidRDefault="00F02DE0">
      <w:pPr>
        <w:pStyle w:val="TableCaption"/>
      </w:pPr>
      <w:bookmarkStart w:id="113" w:name="_Toc225155444"/>
      <w:bookmarkStart w:id="114" w:name="tbl:acknowledgment_operation_parameters"/>
      <w:r>
        <w:t>The Acknowledgment Operation Parameters.</w:t>
      </w:r>
      <w:bookmarkEnd w:id="113"/>
    </w:p>
    <w:tbl>
      <w:tblPr>
        <w:tblStyle w:val="Table"/>
        <w:tblW w:w="5000" w:type="pct"/>
        <w:tblLayout w:type="fixed"/>
        <w:tblLook w:val="0020" w:firstRow="1" w:lastRow="0" w:firstColumn="0" w:lastColumn="0" w:noHBand="0" w:noVBand="0"/>
        <w:tblCaption w:val="The Acknowledgment Operation Parameters."/>
      </w:tblPr>
      <w:tblGrid>
        <w:gridCol w:w="2548"/>
        <w:gridCol w:w="2549"/>
        <w:gridCol w:w="2549"/>
        <w:gridCol w:w="2549"/>
      </w:tblGrid>
      <w:tr w:rsidR="00753DEE" w14:paraId="030DCDF9" w14:textId="77777777">
        <w:trPr>
          <w:cnfStyle w:val="100000000000" w:firstRow="1" w:lastRow="0" w:firstColumn="0" w:lastColumn="0" w:oddVBand="0" w:evenVBand="0" w:oddHBand="0" w:evenHBand="0" w:firstRowFirstColumn="0" w:firstRowLastColumn="0" w:lastRowFirstColumn="0" w:lastRowLastColumn="0"/>
          <w:tblHeader/>
        </w:trPr>
        <w:tc>
          <w:tcPr>
            <w:tcW w:w="1980" w:type="dxa"/>
          </w:tcPr>
          <w:p w14:paraId="2E3E378D" w14:textId="77777777" w:rsidR="00753DEE" w:rsidRDefault="00F02DE0">
            <w:pPr>
              <w:pStyle w:val="Compact"/>
            </w:pPr>
            <w:r>
              <w:t>Parameters (in)</w:t>
            </w:r>
          </w:p>
        </w:tc>
        <w:tc>
          <w:tcPr>
            <w:tcW w:w="1980" w:type="dxa"/>
          </w:tcPr>
          <w:p w14:paraId="23E5F790" w14:textId="77777777" w:rsidR="00753DEE" w:rsidRDefault="00F02DE0">
            <w:pPr>
              <w:pStyle w:val="Compact"/>
            </w:pPr>
            <w:r>
              <w:t>Encoding</w:t>
            </w:r>
          </w:p>
        </w:tc>
        <w:tc>
          <w:tcPr>
            <w:tcW w:w="1980" w:type="dxa"/>
          </w:tcPr>
          <w:p w14:paraId="485712E6" w14:textId="77777777" w:rsidR="00753DEE" w:rsidRDefault="00F02DE0">
            <w:pPr>
              <w:pStyle w:val="Compact"/>
            </w:pPr>
            <w:r>
              <w:t>Mult.</w:t>
            </w:r>
          </w:p>
        </w:tc>
        <w:tc>
          <w:tcPr>
            <w:tcW w:w="1980" w:type="dxa"/>
          </w:tcPr>
          <w:p w14:paraId="4F7CD540" w14:textId="77777777" w:rsidR="00753DEE" w:rsidRDefault="00F02DE0">
            <w:pPr>
              <w:pStyle w:val="Compact"/>
            </w:pPr>
            <w:r>
              <w:t>Descriptions</w:t>
            </w:r>
          </w:p>
        </w:tc>
      </w:tr>
      <w:tr w:rsidR="00753DEE" w14:paraId="2A8AF4E1" w14:textId="77777777">
        <w:tc>
          <w:tcPr>
            <w:tcW w:w="1980" w:type="dxa"/>
          </w:tcPr>
          <w:p w14:paraId="43A37524" w14:textId="77777777" w:rsidR="00753DEE" w:rsidRDefault="00F02DE0">
            <w:pPr>
              <w:pStyle w:val="Compact"/>
            </w:pPr>
            <w:proofErr w:type="spellStart"/>
            <w:r>
              <w:t>createdAt</w:t>
            </w:r>
            <w:proofErr w:type="spellEnd"/>
          </w:p>
        </w:tc>
        <w:tc>
          <w:tcPr>
            <w:tcW w:w="1980" w:type="dxa"/>
          </w:tcPr>
          <w:p w14:paraId="70D1BBF2" w14:textId="77777777" w:rsidR="00753DEE" w:rsidRDefault="00F02DE0">
            <w:pPr>
              <w:pStyle w:val="Compact"/>
            </w:pPr>
            <w:proofErr w:type="spellStart"/>
            <w:r>
              <w:t>DateTime</w:t>
            </w:r>
            <w:proofErr w:type="spellEnd"/>
          </w:p>
        </w:tc>
        <w:tc>
          <w:tcPr>
            <w:tcW w:w="1980" w:type="dxa"/>
          </w:tcPr>
          <w:p w14:paraId="392429E7" w14:textId="77777777" w:rsidR="00753DEE" w:rsidRDefault="00F02DE0">
            <w:pPr>
              <w:pStyle w:val="Compact"/>
            </w:pPr>
            <w:r>
              <w:t>1</w:t>
            </w:r>
          </w:p>
        </w:tc>
        <w:tc>
          <w:tcPr>
            <w:tcW w:w="1980" w:type="dxa"/>
          </w:tcPr>
          <w:p w14:paraId="3B68477A" w14:textId="77777777" w:rsidR="00753DEE" w:rsidRDefault="00F02DE0">
            <w:pPr>
              <w:pStyle w:val="Compact"/>
            </w:pPr>
            <w:r>
              <w:t>Creation time for the acknowledgement.</w:t>
            </w:r>
          </w:p>
        </w:tc>
      </w:tr>
      <w:tr w:rsidR="00753DEE" w14:paraId="02296B46" w14:textId="77777777">
        <w:tc>
          <w:tcPr>
            <w:tcW w:w="1980" w:type="dxa"/>
          </w:tcPr>
          <w:p w14:paraId="2FE1223F" w14:textId="77777777" w:rsidR="00753DEE" w:rsidRDefault="00F02DE0">
            <w:pPr>
              <w:pStyle w:val="Compact"/>
            </w:pPr>
            <w:proofErr w:type="spellStart"/>
            <w:r>
              <w:t>envelopeCertificate</w:t>
            </w:r>
            <w:proofErr w:type="spellEnd"/>
          </w:p>
        </w:tc>
        <w:tc>
          <w:tcPr>
            <w:tcW w:w="1980" w:type="dxa"/>
          </w:tcPr>
          <w:p w14:paraId="6AEBA1CD" w14:textId="77777777" w:rsidR="00753DEE" w:rsidRDefault="00F02DE0">
            <w:pPr>
              <w:pStyle w:val="Compact"/>
            </w:pPr>
            <w:r>
              <w:t>String</w:t>
            </w:r>
          </w:p>
        </w:tc>
        <w:tc>
          <w:tcPr>
            <w:tcW w:w="1980" w:type="dxa"/>
          </w:tcPr>
          <w:p w14:paraId="6CAB2A49" w14:textId="77777777" w:rsidR="00753DEE" w:rsidRDefault="00F02DE0">
            <w:pPr>
              <w:pStyle w:val="Compact"/>
            </w:pPr>
            <w:proofErr w:type="gramStart"/>
            <w:r>
              <w:t>1..*</w:t>
            </w:r>
            <w:proofErr w:type="gramEnd"/>
          </w:p>
        </w:tc>
        <w:tc>
          <w:tcPr>
            <w:tcW w:w="1980" w:type="dxa"/>
          </w:tcPr>
          <w:p w14:paraId="7D821340" w14:textId="77777777" w:rsidR="00753DEE" w:rsidRDefault="00F02DE0">
            <w:pPr>
              <w:pStyle w:val="Compact"/>
            </w:pPr>
            <w:r>
              <w:t>The public certificate of the sender. used to verify the envelope signature</w:t>
            </w:r>
          </w:p>
        </w:tc>
      </w:tr>
      <w:tr w:rsidR="00753DEE" w14:paraId="0E816068" w14:textId="77777777">
        <w:tc>
          <w:tcPr>
            <w:tcW w:w="1980" w:type="dxa"/>
          </w:tcPr>
          <w:p w14:paraId="0A051B00" w14:textId="77777777" w:rsidR="00753DEE" w:rsidRDefault="00F02DE0">
            <w:pPr>
              <w:pStyle w:val="Compact"/>
            </w:pPr>
            <w:proofErr w:type="spellStart"/>
            <w:r>
              <w:t>envelopeRootCertificateThumbprint</w:t>
            </w:r>
            <w:proofErr w:type="spellEnd"/>
          </w:p>
        </w:tc>
        <w:tc>
          <w:tcPr>
            <w:tcW w:w="1980" w:type="dxa"/>
          </w:tcPr>
          <w:p w14:paraId="00E975D2" w14:textId="77777777" w:rsidR="00753DEE" w:rsidRDefault="00F02DE0">
            <w:pPr>
              <w:pStyle w:val="Compact"/>
            </w:pPr>
            <w:r>
              <w:t>String</w:t>
            </w:r>
          </w:p>
        </w:tc>
        <w:tc>
          <w:tcPr>
            <w:tcW w:w="1980" w:type="dxa"/>
          </w:tcPr>
          <w:p w14:paraId="1759A0D8" w14:textId="77777777" w:rsidR="00753DEE" w:rsidRDefault="00F02DE0">
            <w:pPr>
              <w:pStyle w:val="Compact"/>
            </w:pPr>
            <w:r>
              <w:t>1</w:t>
            </w:r>
          </w:p>
        </w:tc>
        <w:tc>
          <w:tcPr>
            <w:tcW w:w="1980" w:type="dxa"/>
          </w:tcPr>
          <w:p w14:paraId="647C4574" w14:textId="77777777" w:rsidR="00753DEE" w:rsidRDefault="00F02DE0">
            <w:pPr>
              <w:pStyle w:val="Compact"/>
            </w:pPr>
            <w:r>
              <w:t>Claimed Thumbprint for Signed Root Key (X.509 Certificate) SHA256 and base64 as format.</w:t>
            </w:r>
          </w:p>
        </w:tc>
      </w:tr>
      <w:tr w:rsidR="00753DEE" w14:paraId="1D199908" w14:textId="77777777">
        <w:tc>
          <w:tcPr>
            <w:tcW w:w="1980" w:type="dxa"/>
          </w:tcPr>
          <w:p w14:paraId="145C4150" w14:textId="77777777" w:rsidR="00753DEE" w:rsidRDefault="00F02DE0">
            <w:pPr>
              <w:pStyle w:val="Compact"/>
            </w:pPr>
            <w:proofErr w:type="spellStart"/>
            <w:r>
              <w:t>transactionIdentifier</w:t>
            </w:r>
            <w:proofErr w:type="spellEnd"/>
          </w:p>
        </w:tc>
        <w:tc>
          <w:tcPr>
            <w:tcW w:w="1980" w:type="dxa"/>
          </w:tcPr>
          <w:p w14:paraId="32425123" w14:textId="77777777" w:rsidR="00753DEE" w:rsidRDefault="00F02DE0">
            <w:pPr>
              <w:pStyle w:val="Compact"/>
            </w:pPr>
            <w:r>
              <w:t>String</w:t>
            </w:r>
          </w:p>
        </w:tc>
        <w:tc>
          <w:tcPr>
            <w:tcW w:w="1980" w:type="dxa"/>
          </w:tcPr>
          <w:p w14:paraId="352F7299" w14:textId="77777777" w:rsidR="00753DEE" w:rsidRDefault="00F02DE0">
            <w:pPr>
              <w:pStyle w:val="Compact"/>
            </w:pPr>
            <w:r>
              <w:t>1</w:t>
            </w:r>
          </w:p>
        </w:tc>
        <w:tc>
          <w:tcPr>
            <w:tcW w:w="1980" w:type="dxa"/>
          </w:tcPr>
          <w:p w14:paraId="784C2AF9" w14:textId="77777777" w:rsidR="00753DEE" w:rsidRDefault="00F02DE0">
            <w:pPr>
              <w:pStyle w:val="Compact"/>
            </w:pPr>
            <w:r>
              <w:t>Reference identifier given in upload.</w:t>
            </w:r>
          </w:p>
        </w:tc>
      </w:tr>
      <w:tr w:rsidR="00753DEE" w14:paraId="141BE24B" w14:textId="77777777">
        <w:tc>
          <w:tcPr>
            <w:tcW w:w="1980" w:type="dxa"/>
          </w:tcPr>
          <w:p w14:paraId="7A108412" w14:textId="77777777" w:rsidR="00753DEE" w:rsidRDefault="00F02DE0">
            <w:pPr>
              <w:pStyle w:val="Compact"/>
            </w:pPr>
            <w:proofErr w:type="spellStart"/>
            <w:r>
              <w:t>ackType</w:t>
            </w:r>
            <w:proofErr w:type="spellEnd"/>
          </w:p>
        </w:tc>
        <w:tc>
          <w:tcPr>
            <w:tcW w:w="1980" w:type="dxa"/>
          </w:tcPr>
          <w:p w14:paraId="66A7A145" w14:textId="77777777" w:rsidR="00753DEE" w:rsidRDefault="00F02DE0">
            <w:pPr>
              <w:pStyle w:val="Compact"/>
            </w:pPr>
            <w:proofErr w:type="spellStart"/>
            <w:r>
              <w:t>AckTypeEnumType</w:t>
            </w:r>
            <w:proofErr w:type="spellEnd"/>
            <w:r>
              <w:t xml:space="preserve"> as defined in [2]</w:t>
            </w:r>
          </w:p>
        </w:tc>
        <w:tc>
          <w:tcPr>
            <w:tcW w:w="1980" w:type="dxa"/>
          </w:tcPr>
          <w:p w14:paraId="47E2C249" w14:textId="77777777" w:rsidR="00753DEE" w:rsidRDefault="00F02DE0">
            <w:pPr>
              <w:pStyle w:val="Compact"/>
            </w:pPr>
            <w:r>
              <w:t>1</w:t>
            </w:r>
          </w:p>
        </w:tc>
        <w:tc>
          <w:tcPr>
            <w:tcW w:w="1980" w:type="dxa"/>
          </w:tcPr>
          <w:p w14:paraId="61444BC6" w14:textId="77777777" w:rsidR="00753DEE" w:rsidRDefault="00F02DE0">
            <w:pPr>
              <w:pStyle w:val="Compact"/>
            </w:pPr>
            <w:r>
              <w:t xml:space="preserve">Type of </w:t>
            </w:r>
            <w:proofErr w:type="spellStart"/>
            <w:r>
              <w:t>of</w:t>
            </w:r>
            <w:proofErr w:type="spellEnd"/>
            <w:r>
              <w:t xml:space="preserve"> acknowledgement.</w:t>
            </w:r>
          </w:p>
        </w:tc>
      </w:tr>
      <w:tr w:rsidR="00753DEE" w14:paraId="0FDAD2E9" w14:textId="77777777">
        <w:tc>
          <w:tcPr>
            <w:tcW w:w="1980" w:type="dxa"/>
          </w:tcPr>
          <w:p w14:paraId="0CC5184A" w14:textId="77777777" w:rsidR="00753DEE" w:rsidRDefault="00F02DE0">
            <w:pPr>
              <w:pStyle w:val="Compact"/>
            </w:pPr>
            <w:proofErr w:type="spellStart"/>
            <w:r>
              <w:t>nackType</w:t>
            </w:r>
            <w:proofErr w:type="spellEnd"/>
          </w:p>
        </w:tc>
        <w:tc>
          <w:tcPr>
            <w:tcW w:w="1980" w:type="dxa"/>
          </w:tcPr>
          <w:p w14:paraId="0041757A" w14:textId="77777777" w:rsidR="00753DEE" w:rsidRDefault="00F02DE0">
            <w:pPr>
              <w:pStyle w:val="Compact"/>
            </w:pPr>
            <w:proofErr w:type="spellStart"/>
            <w:r>
              <w:t>NackTypeEnum</w:t>
            </w:r>
            <w:proofErr w:type="spellEnd"/>
            <w:r>
              <w:t xml:space="preserve"> as defined in [2]</w:t>
            </w:r>
          </w:p>
        </w:tc>
        <w:tc>
          <w:tcPr>
            <w:tcW w:w="1980" w:type="dxa"/>
          </w:tcPr>
          <w:p w14:paraId="6A446B56" w14:textId="77777777" w:rsidR="00753DEE" w:rsidRDefault="00F02DE0">
            <w:pPr>
              <w:pStyle w:val="Compact"/>
            </w:pPr>
            <w:r>
              <w:t>0..1</w:t>
            </w:r>
          </w:p>
        </w:tc>
        <w:tc>
          <w:tcPr>
            <w:tcW w:w="1980" w:type="dxa"/>
          </w:tcPr>
          <w:p w14:paraId="5DD6ADEA" w14:textId="77777777" w:rsidR="00753DEE" w:rsidRDefault="00F02DE0">
            <w:pPr>
              <w:pStyle w:val="Compact"/>
            </w:pPr>
            <w:proofErr w:type="spellStart"/>
            <w:r>
              <w:t>NackTypeEnum</w:t>
            </w:r>
            <w:proofErr w:type="spellEnd"/>
            <w:r>
              <w:t xml:space="preserve"> Information details if error.</w:t>
            </w:r>
          </w:p>
        </w:tc>
      </w:tr>
      <w:tr w:rsidR="00753DEE" w14:paraId="417F2918" w14:textId="77777777">
        <w:tc>
          <w:tcPr>
            <w:tcW w:w="1980" w:type="dxa"/>
          </w:tcPr>
          <w:p w14:paraId="58D9F382" w14:textId="77777777" w:rsidR="00753DEE" w:rsidRDefault="00F02DE0">
            <w:pPr>
              <w:pStyle w:val="Compact"/>
            </w:pPr>
            <w:proofErr w:type="spellStart"/>
            <w:r>
              <w:t>envelopeSignatureTime</w:t>
            </w:r>
            <w:proofErr w:type="spellEnd"/>
          </w:p>
        </w:tc>
        <w:tc>
          <w:tcPr>
            <w:tcW w:w="1980" w:type="dxa"/>
          </w:tcPr>
          <w:p w14:paraId="3C5FAB47" w14:textId="77777777" w:rsidR="00753DEE" w:rsidRDefault="00F02DE0">
            <w:pPr>
              <w:pStyle w:val="Compact"/>
            </w:pPr>
            <w:proofErr w:type="spellStart"/>
            <w:r>
              <w:t>DateTime</w:t>
            </w:r>
            <w:proofErr w:type="spellEnd"/>
          </w:p>
        </w:tc>
        <w:tc>
          <w:tcPr>
            <w:tcW w:w="1980" w:type="dxa"/>
          </w:tcPr>
          <w:p w14:paraId="3D3A8F98" w14:textId="77777777" w:rsidR="00753DEE" w:rsidRDefault="00F02DE0">
            <w:pPr>
              <w:pStyle w:val="Compact"/>
            </w:pPr>
            <w:r>
              <w:t>0..1</w:t>
            </w:r>
          </w:p>
        </w:tc>
        <w:tc>
          <w:tcPr>
            <w:tcW w:w="1980" w:type="dxa"/>
          </w:tcPr>
          <w:p w14:paraId="0AA39B08" w14:textId="77777777" w:rsidR="00753DEE" w:rsidRDefault="00F02DE0">
            <w:pPr>
              <w:pStyle w:val="Compact"/>
            </w:pPr>
            <w:r>
              <w:t>Timestamp when the envelope is signed</w:t>
            </w:r>
          </w:p>
        </w:tc>
      </w:tr>
      <w:tr w:rsidR="00753DEE" w14:paraId="346D7C27" w14:textId="77777777">
        <w:tc>
          <w:tcPr>
            <w:tcW w:w="1980" w:type="dxa"/>
          </w:tcPr>
          <w:p w14:paraId="4658577C" w14:textId="77777777" w:rsidR="00753DEE" w:rsidRDefault="00F02DE0">
            <w:pPr>
              <w:pStyle w:val="Compact"/>
            </w:pPr>
            <w:proofErr w:type="spellStart"/>
            <w:r>
              <w:t>envelopeSignatureReference</w:t>
            </w:r>
            <w:proofErr w:type="spellEnd"/>
          </w:p>
        </w:tc>
        <w:tc>
          <w:tcPr>
            <w:tcW w:w="1980" w:type="dxa"/>
          </w:tcPr>
          <w:p w14:paraId="4620FAC0" w14:textId="77777777" w:rsidR="00753DEE" w:rsidRDefault="00F02DE0">
            <w:pPr>
              <w:pStyle w:val="Compact"/>
            </w:pPr>
            <w:r>
              <w:t>String</w:t>
            </w:r>
          </w:p>
        </w:tc>
        <w:tc>
          <w:tcPr>
            <w:tcW w:w="1980" w:type="dxa"/>
          </w:tcPr>
          <w:p w14:paraId="7A407542" w14:textId="77777777" w:rsidR="00753DEE" w:rsidRDefault="00F02DE0">
            <w:pPr>
              <w:pStyle w:val="Compact"/>
            </w:pPr>
            <w:r>
              <w:t>1</w:t>
            </w:r>
          </w:p>
        </w:tc>
        <w:tc>
          <w:tcPr>
            <w:tcW w:w="1980" w:type="dxa"/>
          </w:tcPr>
          <w:p w14:paraId="15DF5931" w14:textId="77777777" w:rsidR="00753DEE" w:rsidRDefault="00F02DE0">
            <w:pPr>
              <w:pStyle w:val="Compact"/>
            </w:pPr>
            <w:r>
              <w:t xml:space="preserve">Specifies the algorithm used to compute envelope signature. For </w:t>
            </w:r>
            <w:proofErr w:type="gramStart"/>
            <w:r>
              <w:t>example</w:t>
            </w:r>
            <w:proofErr w:type="gramEnd"/>
            <w:r>
              <w:t xml:space="preserve"> “ECDSA-384-SHA2”</w:t>
            </w:r>
          </w:p>
        </w:tc>
      </w:tr>
    </w:tbl>
    <w:p w14:paraId="6740A55A" w14:textId="77777777" w:rsidR="00753DEE" w:rsidRDefault="00F02DE0">
      <w:pPr>
        <w:pStyle w:val="Heading4"/>
      </w:pPr>
      <w:bookmarkStart w:id="115" w:name="X2b820bb7f442ebf568a7c500a39a412a89f4eff"/>
      <w:bookmarkEnd w:id="108"/>
      <w:bookmarkEnd w:id="110"/>
      <w:r>
        <w:t>Interpretation Guidelines</w:t>
      </w:r>
    </w:p>
    <w:p w14:paraId="36146EF3" w14:textId="77777777" w:rsidR="00753DEE" w:rsidRDefault="00F02DE0">
      <w:pPr>
        <w:pStyle w:val="FirstParagraph"/>
      </w:pPr>
      <w:r>
        <w:t xml:space="preserve">The </w:t>
      </w:r>
      <w:proofErr w:type="spellStart"/>
      <w:r>
        <w:rPr>
          <w:b/>
          <w:bCs/>
        </w:rPr>
        <w:t>transactionIdentifier</w:t>
      </w:r>
      <w:proofErr w:type="spellEnd"/>
      <w:r>
        <w:t xml:space="preserve"> describes the reference to what sending transaction of data that is acknowledged.</w:t>
      </w:r>
    </w:p>
    <w:p w14:paraId="48F1206A" w14:textId="77777777" w:rsidR="00753DEE" w:rsidRDefault="00F02DE0">
      <w:pPr>
        <w:pStyle w:val="BodyText"/>
      </w:pPr>
      <w:r>
        <w:t>The response can be either positive acknowledgement (</w:t>
      </w:r>
      <w:proofErr w:type="spellStart"/>
      <w:r>
        <w:t>ackType</w:t>
      </w:r>
      <w:proofErr w:type="spellEnd"/>
      <w:r>
        <w:t xml:space="preserve"> = 1 or 2) or negative acknowledgement (</w:t>
      </w:r>
      <w:proofErr w:type="spellStart"/>
      <w:r>
        <w:t>ackType</w:t>
      </w:r>
      <w:proofErr w:type="spellEnd"/>
      <w:r>
        <w:t xml:space="preserve"> = 3 (error)). If negative acknowledgement is given, the error message is expected to be provided in </w:t>
      </w:r>
      <w:proofErr w:type="spellStart"/>
      <w:r>
        <w:t>nackType</w:t>
      </w:r>
      <w:proofErr w:type="spellEnd"/>
      <w:r>
        <w:t xml:space="preserve"> (0-4) describing the error.</w:t>
      </w:r>
    </w:p>
    <w:p w14:paraId="65756EED" w14:textId="77777777" w:rsidR="00753DEE" w:rsidRDefault="00F02DE0">
      <w:r>
        <w:br w:type="page"/>
      </w:r>
    </w:p>
    <w:p w14:paraId="652D73EE" w14:textId="77777777" w:rsidR="00753DEE" w:rsidRDefault="00F02DE0">
      <w:pPr>
        <w:pStyle w:val="Heading1"/>
      </w:pPr>
      <w:bookmarkStart w:id="116" w:name="_Toc225155485"/>
      <w:bookmarkStart w:id="117" w:name="sec:service-dynamic-behaviour"/>
      <w:bookmarkEnd w:id="111"/>
      <w:bookmarkEnd w:id="112"/>
      <w:bookmarkEnd w:id="114"/>
      <w:bookmarkEnd w:id="115"/>
      <w:r>
        <w:lastRenderedPageBreak/>
        <w:t>Service Dynamic Behaviour</w:t>
      </w:r>
      <w:bookmarkEnd w:id="116"/>
    </w:p>
    <w:p w14:paraId="1BC558A4" w14:textId="77777777" w:rsidR="00753DEE" w:rsidRDefault="00F02DE0">
      <w:pPr>
        <w:pStyle w:val="FirstParagraph"/>
      </w:pPr>
      <w:r>
        <w:t>In the following diagrams and descriptions, the communication between the vessel’s onboard systems and its SECOM service is out of scope for the purposes of this design.</w:t>
      </w:r>
    </w:p>
    <w:p w14:paraId="7CE6439F" w14:textId="77777777" w:rsidR="00753DEE" w:rsidRDefault="00F02DE0">
      <w:pPr>
        <w:pStyle w:val="BodyText"/>
      </w:pPr>
      <w:r>
        <w:t>Similarly, the communication and interfaces between the service and the on-board ship system is out of scope of this design.</w:t>
      </w:r>
    </w:p>
    <w:p w14:paraId="28BD25DF" w14:textId="77777777" w:rsidR="00753DEE" w:rsidRDefault="00F02DE0">
      <w:pPr>
        <w:pStyle w:val="Heading2"/>
      </w:pPr>
      <w:bookmarkStart w:id="118" w:name="_Toc225155486"/>
      <w:bookmarkStart w:id="119" w:name="sec:dynamic_behaviour_signature_sequence"/>
      <w:r>
        <w:t>Generic sequence for signatures</w:t>
      </w:r>
      <w:bookmarkEnd w:id="118"/>
    </w:p>
    <w:p w14:paraId="7B62A045" w14:textId="77777777" w:rsidR="00753DEE" w:rsidRDefault="00F02DE0">
      <w:pPr>
        <w:pStyle w:val="FirstParagraph"/>
      </w:pPr>
      <w:r>
        <w:t>This sequence assumes the following actors:</w:t>
      </w:r>
    </w:p>
    <w:p w14:paraId="11AB631E" w14:textId="77777777" w:rsidR="00753DEE" w:rsidRPr="00BB642F" w:rsidRDefault="00F02DE0">
      <w:pPr>
        <w:pStyle w:val="BodyText"/>
        <w:rPr>
          <w:lang w:val="it-IT"/>
        </w:rPr>
      </w:pPr>
      <w:r w:rsidRPr="00BB642F">
        <w:rPr>
          <w:lang w:val="it-IT"/>
        </w:rPr>
        <w:t>Data Provider → Data Server → Data Receiver → Data Consumer</w:t>
      </w:r>
    </w:p>
    <w:p w14:paraId="770626AC" w14:textId="77777777" w:rsidR="00753DEE" w:rsidRDefault="00F02DE0">
      <w:pPr>
        <w:pStyle w:val="BodyText"/>
      </w:pPr>
      <w:r>
        <w:t>The sequence describes the data from its source through transport using SECOM to the end-user.</w:t>
      </w:r>
    </w:p>
    <w:p w14:paraId="42069E34" w14:textId="77777777" w:rsidR="00753DEE" w:rsidRDefault="00F02DE0">
      <w:pPr>
        <w:pStyle w:val="BodyText"/>
      </w:pPr>
      <w:r>
        <w:t>Data Provider preparation:</w:t>
      </w:r>
    </w:p>
    <w:p w14:paraId="12F00556" w14:textId="77777777" w:rsidR="00753DEE" w:rsidRDefault="00F02DE0">
      <w:pPr>
        <w:pStyle w:val="Compact"/>
        <w:numPr>
          <w:ilvl w:val="0"/>
          <w:numId w:val="90"/>
        </w:numPr>
      </w:pPr>
      <w:r>
        <w:t>The data provider must have an identity in trusted PKI system</w:t>
      </w:r>
    </w:p>
    <w:p w14:paraId="1D0982EB" w14:textId="77777777" w:rsidR="00753DEE" w:rsidRDefault="00F02DE0">
      <w:pPr>
        <w:pStyle w:val="Compact"/>
        <w:numPr>
          <w:ilvl w:val="0"/>
          <w:numId w:val="90"/>
        </w:numPr>
      </w:pPr>
      <w:r>
        <w:t>The data provider creates a private-public key pair</w:t>
      </w:r>
    </w:p>
    <w:p w14:paraId="10F04093" w14:textId="77777777" w:rsidR="00753DEE" w:rsidRDefault="00F02DE0">
      <w:pPr>
        <w:pStyle w:val="Compact"/>
        <w:numPr>
          <w:ilvl w:val="0"/>
          <w:numId w:val="90"/>
        </w:numPr>
      </w:pPr>
      <w:r>
        <w:t>The data provider sends the public key to PKI system to get it signed and connected to a specific identity/identifier in the PKI system (Certificate Signing Request)</w:t>
      </w:r>
    </w:p>
    <w:p w14:paraId="6BE9FAA7" w14:textId="77777777" w:rsidR="00753DEE" w:rsidRDefault="00F02DE0">
      <w:pPr>
        <w:pStyle w:val="FirstParagraph"/>
      </w:pPr>
      <w:r>
        <w:t>Data Sender preparation:</w:t>
      </w:r>
    </w:p>
    <w:p w14:paraId="0A41BBCD" w14:textId="77777777" w:rsidR="00753DEE" w:rsidRDefault="00F02DE0">
      <w:pPr>
        <w:pStyle w:val="Compact"/>
        <w:numPr>
          <w:ilvl w:val="0"/>
          <w:numId w:val="91"/>
        </w:numPr>
      </w:pPr>
      <w:r>
        <w:t>The data sender must have an identity in trusted PKI system</w:t>
      </w:r>
    </w:p>
    <w:p w14:paraId="16CE66F1" w14:textId="77777777" w:rsidR="00753DEE" w:rsidRDefault="00F02DE0">
      <w:pPr>
        <w:pStyle w:val="Compact"/>
        <w:numPr>
          <w:ilvl w:val="0"/>
          <w:numId w:val="91"/>
        </w:numPr>
      </w:pPr>
      <w:r>
        <w:t>The data sender creates a private-public key pair</w:t>
      </w:r>
    </w:p>
    <w:p w14:paraId="074FD943" w14:textId="77777777" w:rsidR="00753DEE" w:rsidRDefault="00F02DE0">
      <w:pPr>
        <w:pStyle w:val="Compact"/>
        <w:numPr>
          <w:ilvl w:val="0"/>
          <w:numId w:val="91"/>
        </w:numPr>
      </w:pPr>
      <w:r>
        <w:t>The data sender sends the public key to PKI system to get it signed and connected to a specific identity/identifier in the PKI system (Certificate Signing Request)</w:t>
      </w:r>
    </w:p>
    <w:p w14:paraId="1D4E8B2D" w14:textId="77777777" w:rsidR="00753DEE" w:rsidRDefault="00F02DE0">
      <w:pPr>
        <w:pStyle w:val="FirstParagraph"/>
      </w:pPr>
      <w:r>
        <w:t>Data Provider and Data Sender:</w:t>
      </w:r>
    </w:p>
    <w:p w14:paraId="693DFAC9" w14:textId="77777777" w:rsidR="00753DEE" w:rsidRDefault="00F02DE0">
      <w:pPr>
        <w:pStyle w:val="Compact"/>
        <w:numPr>
          <w:ilvl w:val="0"/>
          <w:numId w:val="92"/>
        </w:numPr>
      </w:pPr>
      <w:r>
        <w:t>The data provider selects identifier and certificate to use for the data signing</w:t>
      </w:r>
    </w:p>
    <w:p w14:paraId="09CAEF21" w14:textId="77777777" w:rsidR="00753DEE" w:rsidRDefault="00F02DE0">
      <w:pPr>
        <w:pStyle w:val="Compact"/>
        <w:numPr>
          <w:ilvl w:val="0"/>
          <w:numId w:val="92"/>
        </w:numPr>
      </w:pPr>
      <w:r>
        <w:t>The data provider creates a signature for the data</w:t>
      </w:r>
    </w:p>
    <w:p w14:paraId="49446D00" w14:textId="77777777" w:rsidR="00753DEE" w:rsidRDefault="00F02DE0">
      <w:pPr>
        <w:pStyle w:val="Compact"/>
        <w:numPr>
          <w:ilvl w:val="0"/>
          <w:numId w:val="92"/>
        </w:numPr>
      </w:pPr>
      <w:r>
        <w:t>The data provider transfers the data with its signature to the data sender.</w:t>
      </w:r>
    </w:p>
    <w:p w14:paraId="611672B0" w14:textId="77777777" w:rsidR="00753DEE" w:rsidRDefault="00F02DE0">
      <w:pPr>
        <w:pStyle w:val="Compact"/>
        <w:numPr>
          <w:ilvl w:val="0"/>
          <w:numId w:val="92"/>
        </w:numPr>
      </w:pPr>
      <w:r>
        <w:t>The data sender protects the data transferring by the selected communication mechanism, e.g. SECOM. SECOM Upload wraps the data, the signature and metadata into an envelope. The envelope is signed by the data sender.</w:t>
      </w:r>
    </w:p>
    <w:p w14:paraId="353AB409" w14:textId="77777777" w:rsidR="00753DEE" w:rsidRDefault="00F02DE0">
      <w:pPr>
        <w:pStyle w:val="Compact"/>
        <w:numPr>
          <w:ilvl w:val="0"/>
          <w:numId w:val="92"/>
        </w:numPr>
      </w:pPr>
      <w:r>
        <w:t>The data sends contacts the data receiver and transfers the data</w:t>
      </w:r>
    </w:p>
    <w:p w14:paraId="28199EE7" w14:textId="77777777" w:rsidR="00753DEE" w:rsidRDefault="00F02DE0">
      <w:pPr>
        <w:pStyle w:val="FirstParagraph"/>
      </w:pPr>
      <w:r>
        <w:t>Data Receiver and Data Consumer:</w:t>
      </w:r>
    </w:p>
    <w:p w14:paraId="79F1D164" w14:textId="77777777" w:rsidR="00753DEE" w:rsidRDefault="00F02DE0">
      <w:pPr>
        <w:pStyle w:val="Compact"/>
        <w:numPr>
          <w:ilvl w:val="0"/>
          <w:numId w:val="93"/>
        </w:numPr>
      </w:pPr>
      <w:r>
        <w:t>The data receiver receives the transferred object with envelope. The envelope signature is verified.</w:t>
      </w:r>
    </w:p>
    <w:p w14:paraId="4CFAE27D" w14:textId="77777777" w:rsidR="00753DEE" w:rsidRDefault="00F02DE0">
      <w:pPr>
        <w:pStyle w:val="Compact"/>
        <w:numPr>
          <w:ilvl w:val="0"/>
          <w:numId w:val="93"/>
        </w:numPr>
      </w:pPr>
      <w:r>
        <w:t>The data receiver forwards the data and data signature to the data consumer</w:t>
      </w:r>
    </w:p>
    <w:p w14:paraId="4FCFA44F" w14:textId="77777777" w:rsidR="00753DEE" w:rsidRDefault="00F02DE0">
      <w:pPr>
        <w:pStyle w:val="Compact"/>
        <w:numPr>
          <w:ilvl w:val="0"/>
          <w:numId w:val="93"/>
        </w:numPr>
      </w:pPr>
      <w:r>
        <w:t>The data consumer verifies the data signature</w:t>
      </w:r>
    </w:p>
    <w:p w14:paraId="6BDF4ECD" w14:textId="77777777" w:rsidR="00753DEE" w:rsidRDefault="00F02DE0">
      <w:pPr>
        <w:pStyle w:val="Heading2"/>
      </w:pPr>
      <w:bookmarkStart w:id="120" w:name="_Toc225155487"/>
      <w:bookmarkStart w:id="121" w:name="Xa8c46ada8d3a71107c9f5d2dc04e5eb37dc6132"/>
      <w:bookmarkEnd w:id="117"/>
      <w:r>
        <w:t>Client-initiated Retrieval of AtoN Information</w:t>
      </w:r>
      <w:bookmarkEnd w:id="120"/>
    </w:p>
    <w:p w14:paraId="70DF0216" w14:textId="77777777" w:rsidR="00753DEE" w:rsidRDefault="00F02DE0">
      <w:pPr>
        <w:pStyle w:val="FirstParagraph"/>
      </w:pPr>
      <w:r>
        <w:t xml:space="preserve">The client-initiated retrieval is triggered by the consumer, when they issue a request on an appropriate </w:t>
      </w:r>
      <w:proofErr w:type="spellStart"/>
      <w:r>
        <w:t>AtoN</w:t>
      </w:r>
      <w:proofErr w:type="spellEnd"/>
      <w:r>
        <w:t xml:space="preserve"> information data receiver (i.e. Get and Get Summary). This functionality covers </w:t>
      </w:r>
      <w:r>
        <w:rPr>
          <w:b/>
          <w:bCs/>
          <w:i/>
          <w:iCs/>
        </w:rPr>
        <w:t>Use Case #1</w:t>
      </w:r>
      <w:r>
        <w:t xml:space="preserve">, </w:t>
      </w:r>
      <w:r>
        <w:rPr>
          <w:b/>
          <w:bCs/>
          <w:i/>
          <w:iCs/>
        </w:rPr>
        <w:t>Use Case #2</w:t>
      </w:r>
      <w:r>
        <w:t xml:space="preserve"> and </w:t>
      </w:r>
      <w:r>
        <w:rPr>
          <w:b/>
          <w:bCs/>
          <w:i/>
          <w:iCs/>
        </w:rPr>
        <w:t>Use Case #4</w:t>
      </w:r>
      <w:r>
        <w:t>, as outlined in relevant service specification [1]. All three use cases can be achieved by two methods:</w:t>
      </w:r>
    </w:p>
    <w:p w14:paraId="365FEA52" w14:textId="77777777" w:rsidR="00753DEE" w:rsidRDefault="00F02DE0">
      <w:pPr>
        <w:pStyle w:val="Compact"/>
        <w:numPr>
          <w:ilvl w:val="0"/>
          <w:numId w:val="95"/>
        </w:numPr>
      </w:pPr>
      <w:r>
        <w:t xml:space="preserve">By directly requesting specific S-125 datasets, using the operation parameters of the Get operation, </w:t>
      </w:r>
      <w:proofErr w:type="gramStart"/>
      <w:r>
        <w:t>or;</w:t>
      </w:r>
      <w:proofErr w:type="gramEnd"/>
    </w:p>
    <w:p w14:paraId="18AD2E06" w14:textId="77777777" w:rsidR="00753DEE" w:rsidRDefault="00F02DE0">
      <w:pPr>
        <w:pStyle w:val="Compact"/>
        <w:numPr>
          <w:ilvl w:val="0"/>
          <w:numId w:val="95"/>
        </w:numPr>
      </w:pPr>
      <w:r>
        <w:t>By requesting the S-125 dataset summary information through the Get Summary operation first, and then using the provided dataset reference identifiers, to retrieve the corresponding S-125 datasets.</w:t>
      </w:r>
    </w:p>
    <w:p w14:paraId="46CB54AD" w14:textId="77777777" w:rsidR="00753DEE" w:rsidRDefault="00F02DE0">
      <w:pPr>
        <w:pStyle w:val="FirstParagraph"/>
      </w:pPr>
      <w:r>
        <w:t>The first method is presented in Figure 2, where the service consumer contacts directly the Get operation of the service provider. Utilising the available operation parameters such as the geometry, area name and time-period, only specific S-125 datasets matching the specified criteria and/or have updates on the specified time-period interval, will be retrieved, packaged into an S-100 Exchange Set, and returned as a response.</w:t>
      </w:r>
    </w:p>
    <w:p w14:paraId="017C490B" w14:textId="77777777" w:rsidR="00753DEE" w:rsidRDefault="00F02DE0">
      <w:pPr>
        <w:pStyle w:val="CaptionedFigure"/>
      </w:pPr>
      <w:r>
        <w:rPr>
          <w:noProof/>
        </w:rPr>
        <w:lastRenderedPageBreak/>
        <w:drawing>
          <wp:inline distT="0" distB="0" distL="0" distR="0" wp14:anchorId="16B80BA5" wp14:editId="2DA377CF">
            <wp:extent cx="6477000" cy="2371044"/>
            <wp:effectExtent l="0" t="0" r="0" b="0"/>
            <wp:docPr id="2" name="Picture" descr="diagram"/>
            <wp:cNvGraphicFramePr/>
            <a:graphic xmlns:a="http://schemas.openxmlformats.org/drawingml/2006/main">
              <a:graphicData uri="http://schemas.openxmlformats.org/drawingml/2006/picture">
                <pic:pic xmlns:pic="http://schemas.openxmlformats.org/drawingml/2006/picture">
                  <pic:nvPicPr>
                    <pic:cNvPr id="2" name="Picture" descr="source/guideline/./dynamic_behaviour-1.png"/>
                    <pic:cNvPicPr>
                      <a:picLocks noChangeAspect="1" noChangeArrowheads="1"/>
                    </pic:cNvPicPr>
                  </pic:nvPicPr>
                  <pic:blipFill>
                    <a:blip r:embed="rId26"/>
                    <a:stretch>
                      <a:fillRect/>
                    </a:stretch>
                  </pic:blipFill>
                  <pic:spPr bwMode="auto">
                    <a:xfrm>
                      <a:off x="0" y="0"/>
                      <a:ext cx="6477000" cy="2371044"/>
                    </a:xfrm>
                    <a:prstGeom prst="rect">
                      <a:avLst/>
                    </a:prstGeom>
                    <a:noFill/>
                    <a:ln w="9525">
                      <a:noFill/>
                      <a:headEnd/>
                      <a:tailEnd/>
                    </a:ln>
                  </pic:spPr>
                </pic:pic>
              </a:graphicData>
            </a:graphic>
          </wp:inline>
        </w:drawing>
      </w:r>
    </w:p>
    <w:p w14:paraId="180AD675" w14:textId="77777777" w:rsidR="00753DEE" w:rsidRDefault="00F02DE0">
      <w:pPr>
        <w:pStyle w:val="ImageCaption"/>
      </w:pPr>
      <w:bookmarkStart w:id="122" w:name="_Toc225155448"/>
      <w:r>
        <w:t xml:space="preserve">Client-Initiated </w:t>
      </w:r>
      <w:proofErr w:type="spellStart"/>
      <w:r>
        <w:t>AtoN</w:t>
      </w:r>
      <w:proofErr w:type="spellEnd"/>
      <w:r>
        <w:t xml:space="preserve"> Information Retrieval through the Get operation.</w:t>
      </w:r>
      <w:bookmarkEnd w:id="122"/>
    </w:p>
    <w:p w14:paraId="72D20777" w14:textId="77777777" w:rsidR="00753DEE" w:rsidRDefault="00F02DE0">
      <w:pPr>
        <w:pStyle w:val="BodyText"/>
      </w:pPr>
      <w:r>
        <w:t xml:space="preserve">In cases where the service consumer requires more information, before </w:t>
      </w:r>
      <w:proofErr w:type="gramStart"/>
      <w:r>
        <w:t>making a decision</w:t>
      </w:r>
      <w:proofErr w:type="gramEnd"/>
      <w:r>
        <w:t xml:space="preserve"> on which datasets should be downloaded, the second retrieval method can be employed, utilising the Get Summary operation. This is demonstrated in Figure 3, where the data consumer initially requests the list of the available S-125 dataset metadata via the summary operation and directly receives a response from the data provider. The service consumer can then select a dataset reference identifier from the returned list and request the detailed information (i.e. the complete S-125 dataset) b</w:t>
      </w:r>
      <w:r>
        <w:t>ack, through the Get operation of the data provider. Each of the corresponding S-125 dataset (and/or its corresponding updates) will be packaged as an individual S-100 Exchange Set and will be sent back to the data consumer as direct response.</w:t>
      </w:r>
    </w:p>
    <w:p w14:paraId="7E755813" w14:textId="77777777" w:rsidR="00753DEE" w:rsidRDefault="00F02DE0">
      <w:pPr>
        <w:pStyle w:val="CaptionedFigure"/>
      </w:pPr>
      <w:r>
        <w:rPr>
          <w:noProof/>
        </w:rPr>
        <w:drawing>
          <wp:inline distT="0" distB="0" distL="0" distR="0" wp14:anchorId="733802E2" wp14:editId="46D38B44">
            <wp:extent cx="6477000" cy="3825065"/>
            <wp:effectExtent l="0" t="0" r="0" b="0"/>
            <wp:docPr id="3" name="Picture" descr="diagram"/>
            <wp:cNvGraphicFramePr/>
            <a:graphic xmlns:a="http://schemas.openxmlformats.org/drawingml/2006/main">
              <a:graphicData uri="http://schemas.openxmlformats.org/drawingml/2006/picture">
                <pic:pic xmlns:pic="http://schemas.openxmlformats.org/drawingml/2006/picture">
                  <pic:nvPicPr>
                    <pic:cNvPr id="3" name="Picture" descr="source/guideline/./dynamic_behaviour-2.png"/>
                    <pic:cNvPicPr>
                      <a:picLocks noChangeAspect="1" noChangeArrowheads="1"/>
                    </pic:cNvPicPr>
                  </pic:nvPicPr>
                  <pic:blipFill>
                    <a:blip r:embed="rId27"/>
                    <a:stretch>
                      <a:fillRect/>
                    </a:stretch>
                  </pic:blipFill>
                  <pic:spPr bwMode="auto">
                    <a:xfrm>
                      <a:off x="0" y="0"/>
                      <a:ext cx="6477000" cy="3825065"/>
                    </a:xfrm>
                    <a:prstGeom prst="rect">
                      <a:avLst/>
                    </a:prstGeom>
                    <a:noFill/>
                    <a:ln w="9525">
                      <a:noFill/>
                      <a:headEnd/>
                      <a:tailEnd/>
                    </a:ln>
                  </pic:spPr>
                </pic:pic>
              </a:graphicData>
            </a:graphic>
          </wp:inline>
        </w:drawing>
      </w:r>
    </w:p>
    <w:p w14:paraId="76C0D273" w14:textId="77777777" w:rsidR="00753DEE" w:rsidRDefault="00F02DE0">
      <w:pPr>
        <w:pStyle w:val="ImageCaption"/>
      </w:pPr>
      <w:bookmarkStart w:id="123" w:name="_Toc225155449"/>
      <w:r>
        <w:t xml:space="preserve">Client-Initiated </w:t>
      </w:r>
      <w:proofErr w:type="spellStart"/>
      <w:r>
        <w:t>AtoN</w:t>
      </w:r>
      <w:proofErr w:type="spellEnd"/>
      <w:r>
        <w:t xml:space="preserve"> Information Retrieval through the Get Summary operation.</w:t>
      </w:r>
      <w:bookmarkEnd w:id="123"/>
    </w:p>
    <w:p w14:paraId="5E56883A" w14:textId="77777777" w:rsidR="00753DEE" w:rsidRDefault="00F02DE0">
      <w:pPr>
        <w:pStyle w:val="BodyText"/>
      </w:pPr>
      <w:r>
        <w:lastRenderedPageBreak/>
        <w:t>The Get Summary operation accepts the same operation parameters as Get, which can be employed to filter the summary response list. This feature improves the flexibility of the whole operation. For example, even if a provided geometry operation parameter matches more than one S-125 datasets, only the required dataset will eventually be retrieved by the service consumer, by using its respective dataset reference identifier.</w:t>
      </w:r>
    </w:p>
    <w:p w14:paraId="38B4FC0D" w14:textId="77777777" w:rsidR="00753DEE" w:rsidRDefault="00F02DE0">
      <w:pPr>
        <w:pStyle w:val="Heading2"/>
      </w:pPr>
      <w:bookmarkStart w:id="124" w:name="_Toc225155488"/>
      <w:bookmarkStart w:id="125" w:name="Xe1f4ba8c3d22d57be3c4dbcc66dda18514f615b"/>
      <w:bookmarkEnd w:id="119"/>
      <w:r>
        <w:t>Subscription-based AtoN Information Propagation</w:t>
      </w:r>
      <w:bookmarkEnd w:id="124"/>
    </w:p>
    <w:p w14:paraId="1236568B" w14:textId="77777777" w:rsidR="00753DEE" w:rsidRDefault="00F02DE0">
      <w:pPr>
        <w:pStyle w:val="FirstParagraph"/>
      </w:pPr>
      <w:r>
        <w:t xml:space="preserve">The subscription on </w:t>
      </w:r>
      <w:proofErr w:type="spellStart"/>
      <w:r>
        <w:t>AtoN</w:t>
      </w:r>
      <w:proofErr w:type="spellEnd"/>
      <w:r>
        <w:t xml:space="preserve"> Information is an alternative method of data propagation, in which a data consumer actively registers its interest to receive updates either on a specific S-125 dataset or alternatively, on all available S-125 datasets. This operation covers Use </w:t>
      </w:r>
      <w:r>
        <w:rPr>
          <w:b/>
          <w:bCs/>
          <w:i/>
          <w:iCs/>
        </w:rPr>
        <w:t>Case #3</w:t>
      </w:r>
      <w:r>
        <w:t>, as outlined in [1].</w:t>
      </w:r>
    </w:p>
    <w:p w14:paraId="49A2C17A" w14:textId="77777777" w:rsidR="00753DEE" w:rsidRDefault="00F02DE0">
      <w:pPr>
        <w:pStyle w:val="BodyText"/>
      </w:pPr>
      <w:r>
        <w:t>Figure 3 illustrates the typical behaviour of the subscription operation. Initially, the data consumer is required to initiate the subscription through the Subscription operation of the data provider. Utilising the available operation parameters such as the geometry, the area name and the subscription period, updates only on the S-125 datasets matching the specified criteria will be provided. Once the subscription request has been received, processed and accepted by the data server, a notification may be se</w:t>
      </w:r>
      <w:r>
        <w:t>nt back to the data consumer, using its Subscription Notification operation. This notification will indicate that the requested subscription has commenced and should include the UUID identifier reference of the established subscription.</w:t>
      </w:r>
    </w:p>
    <w:p w14:paraId="03E53AE4" w14:textId="77777777" w:rsidR="00753DEE" w:rsidRDefault="00F02DE0">
      <w:pPr>
        <w:pStyle w:val="BodyText"/>
      </w:pPr>
      <w:r>
        <w:t xml:space="preserve">Whenever an update is made available on the set of S-125 datasets covered by a subscription, the Upload operation is used to deliver those updates, packaged as S-100 Exchange Sets, to the data consumer. Depending on the implementation of the service, the data consumer may be required to respond to this operation by sending an acknowledgement message back to the service provider. The subscription updates will continue to be provided until </w:t>
      </w:r>
      <w:r>
        <w:rPr>
          <w:b/>
          <w:bCs/>
        </w:rPr>
        <w:t>one</w:t>
      </w:r>
      <w:r>
        <w:t xml:space="preserve"> of the following conditions are met:</w:t>
      </w:r>
    </w:p>
    <w:p w14:paraId="0C1100F1" w14:textId="77777777" w:rsidR="00753DEE" w:rsidRDefault="00F02DE0">
      <w:pPr>
        <w:pStyle w:val="Compact"/>
        <w:numPr>
          <w:ilvl w:val="0"/>
          <w:numId w:val="96"/>
        </w:numPr>
      </w:pPr>
      <w:r>
        <w:t>The subscription period initially set by the data consumer has expired.</w:t>
      </w:r>
    </w:p>
    <w:p w14:paraId="035DD54D" w14:textId="77777777" w:rsidR="00753DEE" w:rsidRDefault="00F02DE0">
      <w:pPr>
        <w:pStyle w:val="Compact"/>
        <w:numPr>
          <w:ilvl w:val="0"/>
          <w:numId w:val="96"/>
        </w:numPr>
      </w:pPr>
      <w:r>
        <w:t xml:space="preserve">The valid and </w:t>
      </w:r>
      <w:proofErr w:type="spellStart"/>
      <w:r>
        <w:t>authorised</w:t>
      </w:r>
      <w:proofErr w:type="spellEnd"/>
      <w:r>
        <w:t xml:space="preserve"> actor requests an end to the active subscription, using the Remove Subscription operation of the data provider.</w:t>
      </w:r>
    </w:p>
    <w:p w14:paraId="41CCA3D8" w14:textId="77777777" w:rsidR="00753DEE" w:rsidRDefault="00F02DE0">
      <w:pPr>
        <w:pStyle w:val="Compact"/>
        <w:numPr>
          <w:ilvl w:val="0"/>
          <w:numId w:val="96"/>
        </w:numPr>
      </w:pPr>
      <w:r>
        <w:t>The data provider removes the information objects covered by the subscription.</w:t>
      </w:r>
    </w:p>
    <w:p w14:paraId="62B66A23" w14:textId="77777777" w:rsidR="00753DEE" w:rsidRDefault="00F02DE0">
      <w:pPr>
        <w:pStyle w:val="Compact"/>
        <w:numPr>
          <w:ilvl w:val="0"/>
          <w:numId w:val="96"/>
        </w:numPr>
      </w:pPr>
      <w:r>
        <w:t>An expected incident/unexpected error forces the data provider to terminate the subscription.</w:t>
      </w:r>
    </w:p>
    <w:p w14:paraId="0B12A44C" w14:textId="77777777" w:rsidR="00753DEE" w:rsidRDefault="00F02DE0">
      <w:pPr>
        <w:pStyle w:val="CaptionedFigure"/>
      </w:pPr>
      <w:r>
        <w:rPr>
          <w:noProof/>
        </w:rPr>
        <w:lastRenderedPageBreak/>
        <w:drawing>
          <wp:inline distT="0" distB="0" distL="0" distR="0" wp14:anchorId="3C929096" wp14:editId="5DC19F03">
            <wp:extent cx="6477000" cy="4494244"/>
            <wp:effectExtent l="0" t="0" r="0" b="0"/>
            <wp:docPr id="4" name="Picture" descr="diagram"/>
            <wp:cNvGraphicFramePr/>
            <a:graphic xmlns:a="http://schemas.openxmlformats.org/drawingml/2006/main">
              <a:graphicData uri="http://schemas.openxmlformats.org/drawingml/2006/picture">
                <pic:pic xmlns:pic="http://schemas.openxmlformats.org/drawingml/2006/picture">
                  <pic:nvPicPr>
                    <pic:cNvPr id="4" name="Picture" descr="source/guideline/./dynamic_behaviour-3.png"/>
                    <pic:cNvPicPr>
                      <a:picLocks noChangeAspect="1" noChangeArrowheads="1"/>
                    </pic:cNvPicPr>
                  </pic:nvPicPr>
                  <pic:blipFill>
                    <a:blip r:embed="rId28"/>
                    <a:stretch>
                      <a:fillRect/>
                    </a:stretch>
                  </pic:blipFill>
                  <pic:spPr bwMode="auto">
                    <a:xfrm>
                      <a:off x="0" y="0"/>
                      <a:ext cx="6477000" cy="4494244"/>
                    </a:xfrm>
                    <a:prstGeom prst="rect">
                      <a:avLst/>
                    </a:prstGeom>
                    <a:noFill/>
                    <a:ln w="9525">
                      <a:noFill/>
                      <a:headEnd/>
                      <a:tailEnd/>
                    </a:ln>
                  </pic:spPr>
                </pic:pic>
              </a:graphicData>
            </a:graphic>
          </wp:inline>
        </w:drawing>
      </w:r>
    </w:p>
    <w:p w14:paraId="6535BA72" w14:textId="77777777" w:rsidR="00753DEE" w:rsidRDefault="00F02DE0">
      <w:pPr>
        <w:pStyle w:val="ImageCaption"/>
      </w:pPr>
      <w:bookmarkStart w:id="126" w:name="_Toc225155450"/>
      <w:r>
        <w:t>Subscription requested by external service.</w:t>
      </w:r>
      <w:bookmarkEnd w:id="126"/>
    </w:p>
    <w:p w14:paraId="593E8227" w14:textId="77777777" w:rsidR="00753DEE" w:rsidRDefault="00F02DE0">
      <w:pPr>
        <w:pStyle w:val="BodyText"/>
      </w:pPr>
      <w:r>
        <w:t>In the sequence diagram presented in Figure 4, the established subscription is terminated though a service consumer request. This should include the identifier reference of the subscription to be terminated. If no subscription identifier is provided, the service server must not terminate any of the active subscriptions of the data consumer performing the request. Once the data consumer’s request has been received, processed, and accepted by the data server, another notification will be sent back to the serv</w:t>
      </w:r>
      <w:r>
        <w:t>ice consumer’s Subscription Notification operation, to inform them of the successful termination of the subscription.</w:t>
      </w:r>
    </w:p>
    <w:p w14:paraId="4E13EABC" w14:textId="77777777" w:rsidR="00753DEE" w:rsidRDefault="00F02DE0">
      <w:pPr>
        <w:pStyle w:val="BodyText"/>
      </w:pPr>
      <w:r>
        <w:t xml:space="preserve">Note that the full contents of the S-125 datasets covered by a subscription, are not send back to the service consumer, unless a new dataset is created within the active period of an existing subscription that covers it. In all other cases, only the S-125 dataset changes will be transferred, </w:t>
      </w:r>
      <w:proofErr w:type="gramStart"/>
      <w:r>
        <w:t>in order to</w:t>
      </w:r>
      <w:proofErr w:type="gramEnd"/>
      <w:r>
        <w:t xml:space="preserve"> conserve bandwidth. Therefore, the service consumer needs to utilise the Get (and Get Summary) operations, if the full contents of the S-125 datasets are required.</w:t>
      </w:r>
    </w:p>
    <w:p w14:paraId="6D20FC98" w14:textId="77777777" w:rsidR="00753DEE" w:rsidRDefault="00F02DE0">
      <w:r>
        <w:br w:type="page"/>
      </w:r>
    </w:p>
    <w:p w14:paraId="25874C4E" w14:textId="77777777" w:rsidR="00753DEE" w:rsidRDefault="00F02DE0">
      <w:pPr>
        <w:pStyle w:val="Heading1"/>
      </w:pPr>
      <w:bookmarkStart w:id="127" w:name="_Toc225155489"/>
      <w:bookmarkStart w:id="128" w:name="definitions"/>
      <w:bookmarkEnd w:id="121"/>
      <w:bookmarkEnd w:id="125"/>
      <w:r>
        <w:lastRenderedPageBreak/>
        <w:t>Definitions</w:t>
      </w:r>
      <w:bookmarkEnd w:id="127"/>
    </w:p>
    <w:p w14:paraId="52871431" w14:textId="77777777" w:rsidR="00753DEE" w:rsidRDefault="00F02DE0">
      <w:pPr>
        <w:pStyle w:val="FirstParagraph"/>
      </w:pPr>
      <w:r>
        <w:t>The definitions of terms used in this IALA Guideline can be found in the International Dictionary of Marine Aids to Navigation (IALA Dictionary) and were checked as correct at the time of going to print. Where conflict arises, the IALA Dictionary shall be considered as the authoritative source of definitions used in IALA documents.</w:t>
      </w:r>
    </w:p>
    <w:p w14:paraId="231E7D0F" w14:textId="77777777" w:rsidR="00753DEE" w:rsidRDefault="00F02DE0">
      <w:pPr>
        <w:pStyle w:val="TableCaption"/>
      </w:pPr>
      <w:bookmarkStart w:id="129" w:name="_Toc225155445"/>
      <w:r>
        <w:t>List of Definitions.</w:t>
      </w:r>
      <w:bookmarkEnd w:id="129"/>
    </w:p>
    <w:tbl>
      <w:tblPr>
        <w:tblStyle w:val="Table"/>
        <w:tblW w:w="0" w:type="auto"/>
        <w:tblLook w:val="0020" w:firstRow="1" w:lastRow="0" w:firstColumn="0" w:lastColumn="0" w:noHBand="0" w:noVBand="0"/>
        <w:tblCaption w:val="List of Definitions."/>
      </w:tblPr>
      <w:tblGrid>
        <w:gridCol w:w="1322"/>
        <w:gridCol w:w="8873"/>
      </w:tblGrid>
      <w:tr w:rsidR="00753DEE" w14:paraId="3E5CABE1"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3B07972" w14:textId="77777777" w:rsidR="00753DEE" w:rsidRDefault="00F02DE0">
            <w:pPr>
              <w:pStyle w:val="Compact"/>
            </w:pPr>
            <w:r>
              <w:t>Term</w:t>
            </w:r>
          </w:p>
        </w:tc>
        <w:tc>
          <w:tcPr>
            <w:tcW w:w="0" w:type="auto"/>
          </w:tcPr>
          <w:p w14:paraId="042FF1D2" w14:textId="77777777" w:rsidR="00753DEE" w:rsidRDefault="00F02DE0">
            <w:pPr>
              <w:pStyle w:val="Compact"/>
            </w:pPr>
            <w:r>
              <w:t>Definition</w:t>
            </w:r>
          </w:p>
        </w:tc>
      </w:tr>
      <w:tr w:rsidR="00753DEE" w14:paraId="409C148D" w14:textId="77777777">
        <w:tc>
          <w:tcPr>
            <w:tcW w:w="0" w:type="auto"/>
          </w:tcPr>
          <w:p w14:paraId="043A9F1F" w14:textId="77777777" w:rsidR="00753DEE" w:rsidRDefault="00F02DE0">
            <w:pPr>
              <w:pStyle w:val="Compact"/>
            </w:pPr>
            <w:r>
              <w:t>External Data Model</w:t>
            </w:r>
          </w:p>
        </w:tc>
        <w:tc>
          <w:tcPr>
            <w:tcW w:w="0" w:type="auto"/>
          </w:tcPr>
          <w:p w14:paraId="57F72D92" w14:textId="77777777" w:rsidR="00753DEE" w:rsidRDefault="00F02DE0">
            <w:pPr>
              <w:pStyle w:val="Compact"/>
            </w:pPr>
            <w:r>
              <w:t>Describes the semantics of the ‘maritime world’ (or a significant part thereof) by defining data structures and their relations. This could be at logical level (e.g. in UML) or at physical level (e.g. in XSD schema definitions), as for example standard data models, or S-100 based data produce specifications.</w:t>
            </w:r>
          </w:p>
        </w:tc>
      </w:tr>
      <w:tr w:rsidR="00753DEE" w14:paraId="14E338D3" w14:textId="77777777">
        <w:tc>
          <w:tcPr>
            <w:tcW w:w="0" w:type="auto"/>
          </w:tcPr>
          <w:p w14:paraId="3ECD4F3F" w14:textId="77777777" w:rsidR="00753DEE" w:rsidRDefault="00F02DE0">
            <w:pPr>
              <w:pStyle w:val="Compact"/>
            </w:pPr>
            <w:r>
              <w:t>Message Exchange Pattern</w:t>
            </w:r>
          </w:p>
        </w:tc>
        <w:tc>
          <w:tcPr>
            <w:tcW w:w="0" w:type="auto"/>
          </w:tcPr>
          <w:p w14:paraId="6565FE8C" w14:textId="77777777" w:rsidR="00753DEE" w:rsidRDefault="00F02DE0">
            <w:pPr>
              <w:pStyle w:val="Compact"/>
            </w:pPr>
            <w:r>
              <w:t>Describes the principles two different parts of a message passing system (in our case: the service provider and the service consumer) use to interact and communicate with each other. Examples: In the Request/Response MEP, the service consumer sends a request to the service provider to obtain certain information; the service provider provides the requested information in a dedicated response. In the Publish/Subscribe MEP, the service consumer establishes a subscription with the service provider to obtain cer</w:t>
            </w:r>
            <w:r>
              <w:t>tain information; the service provider publishes information (either in regular intervals or upon change) to all subscribed service consumers.</w:t>
            </w:r>
          </w:p>
        </w:tc>
      </w:tr>
    </w:tbl>
    <w:p w14:paraId="6C07A2B5" w14:textId="77777777" w:rsidR="00753DEE" w:rsidRDefault="00F02DE0">
      <w:r>
        <w:br w:type="page"/>
      </w:r>
    </w:p>
    <w:p w14:paraId="7BF9F276" w14:textId="77777777" w:rsidR="00753DEE" w:rsidRDefault="00F02DE0">
      <w:pPr>
        <w:pStyle w:val="Heading1"/>
      </w:pPr>
      <w:bookmarkStart w:id="130" w:name="_Toc225155490"/>
      <w:bookmarkStart w:id="131" w:name="acronyms"/>
      <w:bookmarkEnd w:id="128"/>
      <w:r>
        <w:lastRenderedPageBreak/>
        <w:t>Acronyms</w:t>
      </w:r>
      <w:bookmarkEnd w:id="130"/>
    </w:p>
    <w:p w14:paraId="3ED78AAF" w14:textId="77777777" w:rsidR="00753DEE" w:rsidRDefault="00F02DE0">
      <w:pPr>
        <w:pStyle w:val="TableCaption"/>
      </w:pPr>
      <w:bookmarkStart w:id="132" w:name="_Toc225155446"/>
      <w:r>
        <w:t>List of Acronyms.</w:t>
      </w:r>
      <w:bookmarkEnd w:id="132"/>
    </w:p>
    <w:tbl>
      <w:tblPr>
        <w:tblStyle w:val="Table"/>
        <w:tblW w:w="0" w:type="auto"/>
        <w:tblLook w:val="0020" w:firstRow="1" w:lastRow="0" w:firstColumn="0" w:lastColumn="0" w:noHBand="0" w:noVBand="0"/>
        <w:tblCaption w:val="List of Acronyms."/>
      </w:tblPr>
      <w:tblGrid>
        <w:gridCol w:w="977"/>
        <w:gridCol w:w="4140"/>
      </w:tblGrid>
      <w:tr w:rsidR="00753DEE" w14:paraId="76D98C0F" w14:textId="77777777">
        <w:trPr>
          <w:cnfStyle w:val="100000000000" w:firstRow="1" w:lastRow="0" w:firstColumn="0" w:lastColumn="0" w:oddVBand="0" w:evenVBand="0" w:oddHBand="0" w:evenHBand="0" w:firstRowFirstColumn="0" w:firstRowLastColumn="0" w:lastRowFirstColumn="0" w:lastRowLastColumn="0"/>
          <w:tblHeader/>
        </w:trPr>
        <w:tc>
          <w:tcPr>
            <w:tcW w:w="0" w:type="auto"/>
          </w:tcPr>
          <w:p w14:paraId="6DF0321D" w14:textId="77777777" w:rsidR="00753DEE" w:rsidRDefault="00F02DE0">
            <w:pPr>
              <w:pStyle w:val="Compact"/>
            </w:pPr>
            <w:proofErr w:type="spellStart"/>
            <w:r>
              <w:t>Acronum</w:t>
            </w:r>
            <w:proofErr w:type="spellEnd"/>
          </w:p>
        </w:tc>
        <w:tc>
          <w:tcPr>
            <w:tcW w:w="0" w:type="auto"/>
          </w:tcPr>
          <w:p w14:paraId="32BF7ADF" w14:textId="77777777" w:rsidR="00753DEE" w:rsidRDefault="00F02DE0">
            <w:pPr>
              <w:pStyle w:val="Compact"/>
            </w:pPr>
            <w:r>
              <w:t>Definition</w:t>
            </w:r>
          </w:p>
        </w:tc>
      </w:tr>
      <w:tr w:rsidR="00753DEE" w14:paraId="590E2066" w14:textId="77777777">
        <w:tc>
          <w:tcPr>
            <w:tcW w:w="0" w:type="auto"/>
          </w:tcPr>
          <w:p w14:paraId="12DF0D7E" w14:textId="77777777" w:rsidR="00753DEE" w:rsidRDefault="00F02DE0">
            <w:pPr>
              <w:pStyle w:val="Compact"/>
            </w:pPr>
            <w:r>
              <w:t>API</w:t>
            </w:r>
          </w:p>
        </w:tc>
        <w:tc>
          <w:tcPr>
            <w:tcW w:w="0" w:type="auto"/>
          </w:tcPr>
          <w:p w14:paraId="12155FEF" w14:textId="77777777" w:rsidR="00753DEE" w:rsidRDefault="00F02DE0">
            <w:pPr>
              <w:pStyle w:val="Compact"/>
            </w:pPr>
            <w:r>
              <w:t>Application Programming Interface</w:t>
            </w:r>
          </w:p>
        </w:tc>
      </w:tr>
      <w:tr w:rsidR="00753DEE" w14:paraId="7A7B7C07" w14:textId="77777777">
        <w:tc>
          <w:tcPr>
            <w:tcW w:w="0" w:type="auto"/>
          </w:tcPr>
          <w:p w14:paraId="0DFDDB53" w14:textId="77777777" w:rsidR="00753DEE" w:rsidRDefault="00F02DE0">
            <w:pPr>
              <w:pStyle w:val="Compact"/>
            </w:pPr>
            <w:r>
              <w:t>ECDIS</w:t>
            </w:r>
          </w:p>
        </w:tc>
        <w:tc>
          <w:tcPr>
            <w:tcW w:w="0" w:type="auto"/>
          </w:tcPr>
          <w:p w14:paraId="5ED3B2B4" w14:textId="77777777" w:rsidR="00753DEE" w:rsidRDefault="00F02DE0">
            <w:pPr>
              <w:pStyle w:val="Compact"/>
            </w:pPr>
            <w:r>
              <w:t>Electronic Chart Display and Information System</w:t>
            </w:r>
          </w:p>
        </w:tc>
      </w:tr>
      <w:tr w:rsidR="00753DEE" w14:paraId="7B4E8252" w14:textId="77777777">
        <w:tc>
          <w:tcPr>
            <w:tcW w:w="0" w:type="auto"/>
          </w:tcPr>
          <w:p w14:paraId="6E52142C" w14:textId="77777777" w:rsidR="00753DEE" w:rsidRDefault="00F02DE0">
            <w:pPr>
              <w:pStyle w:val="Compact"/>
            </w:pPr>
            <w:r>
              <w:t>ECS</w:t>
            </w:r>
          </w:p>
        </w:tc>
        <w:tc>
          <w:tcPr>
            <w:tcW w:w="0" w:type="auto"/>
          </w:tcPr>
          <w:p w14:paraId="5DDCD119" w14:textId="77777777" w:rsidR="00753DEE" w:rsidRDefault="00F02DE0">
            <w:pPr>
              <w:pStyle w:val="Compact"/>
            </w:pPr>
            <w:r>
              <w:t>Electronic Chart System</w:t>
            </w:r>
          </w:p>
        </w:tc>
      </w:tr>
      <w:tr w:rsidR="00753DEE" w14:paraId="6A90EF37" w14:textId="77777777">
        <w:tc>
          <w:tcPr>
            <w:tcW w:w="0" w:type="auto"/>
          </w:tcPr>
          <w:p w14:paraId="0DEA869E" w14:textId="77777777" w:rsidR="00753DEE" w:rsidRDefault="00F02DE0">
            <w:pPr>
              <w:pStyle w:val="Compact"/>
            </w:pPr>
            <w:r>
              <w:t>HO</w:t>
            </w:r>
          </w:p>
        </w:tc>
        <w:tc>
          <w:tcPr>
            <w:tcW w:w="0" w:type="auto"/>
          </w:tcPr>
          <w:p w14:paraId="793B1491" w14:textId="77777777" w:rsidR="00753DEE" w:rsidRDefault="00F02DE0">
            <w:pPr>
              <w:pStyle w:val="Compact"/>
            </w:pPr>
            <w:r>
              <w:t>Hydrographic Office</w:t>
            </w:r>
          </w:p>
        </w:tc>
      </w:tr>
      <w:tr w:rsidR="00753DEE" w14:paraId="7CD45765" w14:textId="77777777">
        <w:tc>
          <w:tcPr>
            <w:tcW w:w="0" w:type="auto"/>
          </w:tcPr>
          <w:p w14:paraId="55360A97" w14:textId="77777777" w:rsidR="00753DEE" w:rsidRDefault="00F02DE0">
            <w:pPr>
              <w:pStyle w:val="Compact"/>
            </w:pPr>
            <w:r>
              <w:t>IEC</w:t>
            </w:r>
          </w:p>
        </w:tc>
        <w:tc>
          <w:tcPr>
            <w:tcW w:w="0" w:type="auto"/>
          </w:tcPr>
          <w:p w14:paraId="15411521" w14:textId="77777777" w:rsidR="00753DEE" w:rsidRDefault="00F02DE0">
            <w:pPr>
              <w:pStyle w:val="Compact"/>
            </w:pPr>
            <w:r>
              <w:t>International Electrotechnical Commission</w:t>
            </w:r>
          </w:p>
        </w:tc>
      </w:tr>
      <w:tr w:rsidR="00753DEE" w14:paraId="2ED361D3" w14:textId="77777777">
        <w:tc>
          <w:tcPr>
            <w:tcW w:w="0" w:type="auto"/>
          </w:tcPr>
          <w:p w14:paraId="7929B7AC" w14:textId="77777777" w:rsidR="00753DEE" w:rsidRDefault="00F02DE0">
            <w:pPr>
              <w:pStyle w:val="Compact"/>
            </w:pPr>
            <w:r>
              <w:t>IMO</w:t>
            </w:r>
          </w:p>
        </w:tc>
        <w:tc>
          <w:tcPr>
            <w:tcW w:w="0" w:type="auto"/>
          </w:tcPr>
          <w:p w14:paraId="50783699" w14:textId="77777777" w:rsidR="00753DEE" w:rsidRDefault="00F02DE0">
            <w:pPr>
              <w:pStyle w:val="Compact"/>
            </w:pPr>
            <w:r>
              <w:t>International Maritime Organization</w:t>
            </w:r>
          </w:p>
        </w:tc>
      </w:tr>
      <w:tr w:rsidR="00753DEE" w14:paraId="713F8D0D" w14:textId="77777777">
        <w:tc>
          <w:tcPr>
            <w:tcW w:w="0" w:type="auto"/>
          </w:tcPr>
          <w:p w14:paraId="7E5CB81C" w14:textId="77777777" w:rsidR="00753DEE" w:rsidRDefault="00F02DE0">
            <w:pPr>
              <w:pStyle w:val="Compact"/>
            </w:pPr>
            <w:r>
              <w:t>JSON</w:t>
            </w:r>
          </w:p>
        </w:tc>
        <w:tc>
          <w:tcPr>
            <w:tcW w:w="0" w:type="auto"/>
          </w:tcPr>
          <w:p w14:paraId="46100FEB" w14:textId="77777777" w:rsidR="00753DEE" w:rsidRDefault="00F02DE0">
            <w:pPr>
              <w:pStyle w:val="Compact"/>
            </w:pPr>
            <w:r>
              <w:t>JavaScript Object Notation</w:t>
            </w:r>
          </w:p>
        </w:tc>
      </w:tr>
      <w:tr w:rsidR="00753DEE" w14:paraId="3163F895" w14:textId="77777777">
        <w:tc>
          <w:tcPr>
            <w:tcW w:w="0" w:type="auto"/>
          </w:tcPr>
          <w:p w14:paraId="2E130E08" w14:textId="77777777" w:rsidR="00753DEE" w:rsidRDefault="00F02DE0">
            <w:pPr>
              <w:pStyle w:val="Compact"/>
            </w:pPr>
            <w:r>
              <w:t>MIR</w:t>
            </w:r>
          </w:p>
        </w:tc>
        <w:tc>
          <w:tcPr>
            <w:tcW w:w="0" w:type="auto"/>
          </w:tcPr>
          <w:p w14:paraId="2C0E085F" w14:textId="77777777" w:rsidR="00753DEE" w:rsidRDefault="00F02DE0">
            <w:pPr>
              <w:pStyle w:val="Compact"/>
            </w:pPr>
            <w:r>
              <w:t>Maritime Identity Registry</w:t>
            </w:r>
          </w:p>
        </w:tc>
      </w:tr>
      <w:tr w:rsidR="00753DEE" w14:paraId="4A1163BF" w14:textId="77777777">
        <w:tc>
          <w:tcPr>
            <w:tcW w:w="0" w:type="auto"/>
          </w:tcPr>
          <w:p w14:paraId="63443E53" w14:textId="77777777" w:rsidR="00753DEE" w:rsidRDefault="00F02DE0">
            <w:pPr>
              <w:pStyle w:val="Compact"/>
            </w:pPr>
            <w:r>
              <w:t>MRN</w:t>
            </w:r>
          </w:p>
        </w:tc>
        <w:tc>
          <w:tcPr>
            <w:tcW w:w="0" w:type="auto"/>
          </w:tcPr>
          <w:p w14:paraId="4C17D9F5" w14:textId="77777777" w:rsidR="00753DEE" w:rsidRDefault="00F02DE0">
            <w:pPr>
              <w:pStyle w:val="Compact"/>
            </w:pPr>
            <w:r>
              <w:t>Maritime Resource Name</w:t>
            </w:r>
          </w:p>
        </w:tc>
      </w:tr>
      <w:tr w:rsidR="00753DEE" w14:paraId="14C43325" w14:textId="77777777">
        <w:tc>
          <w:tcPr>
            <w:tcW w:w="0" w:type="auto"/>
          </w:tcPr>
          <w:p w14:paraId="182C64C4" w14:textId="77777777" w:rsidR="00753DEE" w:rsidRDefault="00F02DE0">
            <w:pPr>
              <w:pStyle w:val="Compact"/>
            </w:pPr>
            <w:r>
              <w:t>MS</w:t>
            </w:r>
          </w:p>
        </w:tc>
        <w:tc>
          <w:tcPr>
            <w:tcW w:w="0" w:type="auto"/>
          </w:tcPr>
          <w:p w14:paraId="7A226687" w14:textId="77777777" w:rsidR="00753DEE" w:rsidRDefault="00F02DE0">
            <w:pPr>
              <w:pStyle w:val="Compact"/>
            </w:pPr>
            <w:r>
              <w:t>Maritime Service</w:t>
            </w:r>
          </w:p>
        </w:tc>
      </w:tr>
      <w:tr w:rsidR="00753DEE" w14:paraId="1D387604" w14:textId="77777777">
        <w:tc>
          <w:tcPr>
            <w:tcW w:w="0" w:type="auto"/>
          </w:tcPr>
          <w:p w14:paraId="45EACDB6" w14:textId="77777777" w:rsidR="00753DEE" w:rsidRDefault="00F02DE0">
            <w:pPr>
              <w:pStyle w:val="Compact"/>
            </w:pPr>
            <w:r>
              <w:t>MSI</w:t>
            </w:r>
          </w:p>
        </w:tc>
        <w:tc>
          <w:tcPr>
            <w:tcW w:w="0" w:type="auto"/>
          </w:tcPr>
          <w:p w14:paraId="5BE28C97" w14:textId="77777777" w:rsidR="00753DEE" w:rsidRDefault="00F02DE0">
            <w:pPr>
              <w:pStyle w:val="Compact"/>
            </w:pPr>
            <w:r>
              <w:t>Maritime Safety Information</w:t>
            </w:r>
          </w:p>
        </w:tc>
      </w:tr>
      <w:tr w:rsidR="00753DEE" w14:paraId="1B52F1D6" w14:textId="77777777">
        <w:tc>
          <w:tcPr>
            <w:tcW w:w="0" w:type="auto"/>
          </w:tcPr>
          <w:p w14:paraId="1A144648" w14:textId="77777777" w:rsidR="00753DEE" w:rsidRDefault="00F02DE0">
            <w:pPr>
              <w:pStyle w:val="Compact"/>
            </w:pPr>
            <w:r>
              <w:t>MSR</w:t>
            </w:r>
          </w:p>
        </w:tc>
        <w:tc>
          <w:tcPr>
            <w:tcW w:w="0" w:type="auto"/>
          </w:tcPr>
          <w:p w14:paraId="16D8EEEF" w14:textId="77777777" w:rsidR="00753DEE" w:rsidRDefault="00F02DE0">
            <w:pPr>
              <w:pStyle w:val="Compact"/>
            </w:pPr>
            <w:r>
              <w:t>Maritime Service Registry</w:t>
            </w:r>
          </w:p>
        </w:tc>
      </w:tr>
      <w:tr w:rsidR="00753DEE" w14:paraId="271FE031" w14:textId="77777777">
        <w:tc>
          <w:tcPr>
            <w:tcW w:w="0" w:type="auto"/>
          </w:tcPr>
          <w:p w14:paraId="58145C42" w14:textId="77777777" w:rsidR="00753DEE" w:rsidRDefault="00F02DE0">
            <w:pPr>
              <w:pStyle w:val="Compact"/>
            </w:pPr>
            <w:r>
              <w:t>RENC</w:t>
            </w:r>
          </w:p>
        </w:tc>
        <w:tc>
          <w:tcPr>
            <w:tcW w:w="0" w:type="auto"/>
          </w:tcPr>
          <w:p w14:paraId="20242EB0" w14:textId="77777777" w:rsidR="00753DEE" w:rsidRDefault="00F02DE0">
            <w:pPr>
              <w:pStyle w:val="Compact"/>
            </w:pPr>
            <w:r>
              <w:t>Regional ENC Coordination Centre</w:t>
            </w:r>
          </w:p>
        </w:tc>
      </w:tr>
      <w:tr w:rsidR="00753DEE" w14:paraId="5424384F" w14:textId="77777777">
        <w:tc>
          <w:tcPr>
            <w:tcW w:w="0" w:type="auto"/>
          </w:tcPr>
          <w:p w14:paraId="0CE891DE" w14:textId="77777777" w:rsidR="00753DEE" w:rsidRDefault="00F02DE0">
            <w:pPr>
              <w:pStyle w:val="Compact"/>
            </w:pPr>
            <w:r>
              <w:t>REST</w:t>
            </w:r>
          </w:p>
        </w:tc>
        <w:tc>
          <w:tcPr>
            <w:tcW w:w="0" w:type="auto"/>
          </w:tcPr>
          <w:p w14:paraId="5130B1DC" w14:textId="77777777" w:rsidR="00753DEE" w:rsidRDefault="00F02DE0">
            <w:pPr>
              <w:pStyle w:val="Compact"/>
            </w:pPr>
            <w:proofErr w:type="spellStart"/>
            <w:proofErr w:type="gramStart"/>
            <w:r>
              <w:t>REpresentational</w:t>
            </w:r>
            <w:proofErr w:type="spellEnd"/>
            <w:proofErr w:type="gramEnd"/>
            <w:r>
              <w:t xml:space="preserve"> State Transfer</w:t>
            </w:r>
          </w:p>
        </w:tc>
      </w:tr>
      <w:tr w:rsidR="00753DEE" w14:paraId="164A028E" w14:textId="77777777">
        <w:tc>
          <w:tcPr>
            <w:tcW w:w="0" w:type="auto"/>
          </w:tcPr>
          <w:p w14:paraId="0C91246A" w14:textId="77777777" w:rsidR="00753DEE" w:rsidRDefault="00F02DE0">
            <w:pPr>
              <w:pStyle w:val="Compact"/>
            </w:pPr>
            <w:r>
              <w:t>XML</w:t>
            </w:r>
          </w:p>
        </w:tc>
        <w:tc>
          <w:tcPr>
            <w:tcW w:w="0" w:type="auto"/>
          </w:tcPr>
          <w:p w14:paraId="372EB7B2" w14:textId="77777777" w:rsidR="00753DEE" w:rsidRDefault="00F02DE0">
            <w:pPr>
              <w:pStyle w:val="Compact"/>
            </w:pPr>
            <w:r>
              <w:t>Extensible Markup Language</w:t>
            </w:r>
          </w:p>
        </w:tc>
      </w:tr>
    </w:tbl>
    <w:p w14:paraId="3050C1BA" w14:textId="77777777" w:rsidR="00753DEE" w:rsidRDefault="00F02DE0">
      <w:pPr>
        <w:pStyle w:val="Heading1"/>
      </w:pPr>
      <w:bookmarkStart w:id="133" w:name="_Toc225155491"/>
      <w:bookmarkStart w:id="134" w:name="references"/>
      <w:bookmarkEnd w:id="131"/>
      <w:r>
        <w:t>References</w:t>
      </w:r>
      <w:bookmarkEnd w:id="133"/>
    </w:p>
    <w:p w14:paraId="2524C2A1" w14:textId="77777777" w:rsidR="00753DEE" w:rsidRDefault="00F02DE0">
      <w:bookmarkStart w:id="135" w:name="refs"/>
      <w:bookmarkStart w:id="136" w:name="ref-cite:iala-aton_info_service_spec"/>
      <w:r>
        <w:t xml:space="preserve">[1] </w:t>
      </w:r>
      <w:r>
        <w:tab/>
        <w:t>International Organization for Marine Aids to Navigation (IALA), “IALA marine aids to navigation (</w:t>
      </w:r>
      <w:proofErr w:type="spellStart"/>
      <w:r>
        <w:t>AtoN</w:t>
      </w:r>
      <w:proofErr w:type="spellEnd"/>
      <w:r>
        <w:t xml:space="preserve">) service specification - provision of </w:t>
      </w:r>
      <w:proofErr w:type="spellStart"/>
      <w:r>
        <w:t>AtoN</w:t>
      </w:r>
      <w:proofErr w:type="spellEnd"/>
      <w:r>
        <w:t xml:space="preserve"> information to end-users,” IALA G1128 Service Specification </w:t>
      </w:r>
      <w:proofErr w:type="spellStart"/>
      <w:r>
        <w:t>ssXXXX</w:t>
      </w:r>
      <w:proofErr w:type="spellEnd"/>
      <w:r>
        <w:t>.</w:t>
      </w:r>
    </w:p>
    <w:p w14:paraId="0E4B6DF6" w14:textId="77777777" w:rsidR="00753DEE" w:rsidRDefault="00F02DE0">
      <w:bookmarkStart w:id="137" w:name="ref-cite:iec-63173-2"/>
      <w:bookmarkEnd w:id="134"/>
      <w:r>
        <w:t xml:space="preserve">[2] </w:t>
      </w:r>
      <w:r>
        <w:tab/>
        <w:t xml:space="preserve">International Electrotechnical Commission (IEC), “Maritime navigation and radiocommunication equipment and systems - data interfaces - part 2: Secure communication between ship and shore (SECOM),” Guideline 63173-2. Available: </w:t>
      </w:r>
      <w:hyperlink r:id="rId29">
        <w:r w:rsidR="00753DEE">
          <w:rPr>
            <w:rStyle w:val="Hyperlink"/>
          </w:rPr>
          <w:t>https://webstore.iec.ch/en/publication/64543</w:t>
        </w:r>
      </w:hyperlink>
    </w:p>
    <w:p w14:paraId="7EC6372D" w14:textId="77777777" w:rsidR="00753DEE" w:rsidRDefault="00F02DE0">
      <w:bookmarkStart w:id="138" w:name="ref-cite:imo-msc-1-circ1610-rev1-2024"/>
      <w:bookmarkEnd w:id="135"/>
      <w:r>
        <w:t xml:space="preserve">[3] </w:t>
      </w:r>
      <w:r>
        <w:tab/>
        <w:t>International Maritime Organization (IMO), “Descriptions of maritime services in the context of e-navigation,” Circular IMO-MSC.1/Circ.1610/Rev.1, 2024.</w:t>
      </w:r>
    </w:p>
    <w:p w14:paraId="153FBE20" w14:textId="77777777" w:rsidR="00753DEE" w:rsidRDefault="00F02DE0">
      <w:bookmarkStart w:id="139" w:name="ref-cite:iala-g1128"/>
      <w:bookmarkEnd w:id="136"/>
      <w:r>
        <w:t xml:space="preserve">[4] </w:t>
      </w:r>
      <w:r>
        <w:tab/>
      </w:r>
      <w:r>
        <w:t>International Organization for Marine Aids to Navigation (IALA), “G1128 - the specification of e-navigation technical services,” Guideline 1128.</w:t>
      </w:r>
    </w:p>
    <w:p w14:paraId="496D8001" w14:textId="77777777" w:rsidR="00753DEE" w:rsidRDefault="00F02DE0">
      <w:bookmarkStart w:id="140" w:name="ref-cite:iala-g1128-annex-d"/>
      <w:bookmarkEnd w:id="137"/>
      <w:r>
        <w:t xml:space="preserve">[5] </w:t>
      </w:r>
      <w:r>
        <w:tab/>
        <w:t>International Organization for Marine Aids to Navigation (IALA), “G1128 - annex d - service design template for SECOM service,” Guideline 1128-D.</w:t>
      </w:r>
    </w:p>
    <w:p w14:paraId="08D490EA" w14:textId="77777777" w:rsidR="00753DEE" w:rsidRDefault="00F02DE0">
      <w:bookmarkStart w:id="141" w:name="ref-cite:iala-g1143"/>
      <w:bookmarkEnd w:id="138"/>
      <w:r>
        <w:t xml:space="preserve">[6] </w:t>
      </w:r>
      <w:r>
        <w:tab/>
        <w:t>International Organization for Marine Aids to Navigation (IALA), “G1143 - unique identifiers for maritime resources,” Guideline 1143.</w:t>
      </w:r>
    </w:p>
    <w:p w14:paraId="5DC81FB9" w14:textId="77777777" w:rsidR="00753DEE" w:rsidRDefault="00F02DE0">
      <w:bookmarkStart w:id="142" w:name="ref-cite:iala-g1191"/>
      <w:bookmarkEnd w:id="139"/>
      <w:r>
        <w:t xml:space="preserve">[7] </w:t>
      </w:r>
      <w:r>
        <w:tab/>
        <w:t>International Organization for Marine Aids to Navigation (IALA), “G1191 - maritime service registry (MSR) technical specification,” Guideline 1191.</w:t>
      </w:r>
    </w:p>
    <w:p w14:paraId="6175D751" w14:textId="77777777" w:rsidR="00753DEE" w:rsidRPr="00BB642F" w:rsidRDefault="00F02DE0">
      <w:pPr>
        <w:rPr>
          <w:lang w:val="fr-FR"/>
        </w:rPr>
      </w:pPr>
      <w:bookmarkStart w:id="143" w:name="ref-cite:iho-s100"/>
      <w:bookmarkEnd w:id="140"/>
      <w:r>
        <w:t xml:space="preserve">[8] </w:t>
      </w:r>
      <w:r>
        <w:tab/>
        <w:t xml:space="preserve">International Hydrographic Organization (IHO), “S-100 – universal hydrographic data model,” Standard 5.2.0. </w:t>
      </w:r>
      <w:proofErr w:type="gramStart"/>
      <w:r w:rsidRPr="00BB642F">
        <w:rPr>
          <w:lang w:val="fr-FR"/>
        </w:rPr>
        <w:t>Available:</w:t>
      </w:r>
      <w:proofErr w:type="gramEnd"/>
      <w:r w:rsidRPr="00BB642F">
        <w:rPr>
          <w:lang w:val="fr-FR"/>
        </w:rPr>
        <w:t xml:space="preserve"> </w:t>
      </w:r>
      <w:hyperlink r:id="rId30">
        <w:r w:rsidR="00753DEE" w:rsidRPr="00BB642F">
          <w:rPr>
            <w:rStyle w:val="Hyperlink"/>
            <w:lang w:val="fr-FR"/>
          </w:rPr>
          <w:t>https://iho.int/uploads/user/pubs/standards/s-100/S-100_5.2.0_Final_Clean.pdf</w:t>
        </w:r>
      </w:hyperlink>
    </w:p>
    <w:bookmarkEnd w:id="141"/>
    <w:bookmarkEnd w:id="142"/>
    <w:p w14:paraId="00D239D6" w14:textId="77777777" w:rsidR="00753DEE" w:rsidRPr="00BB642F" w:rsidRDefault="00F02DE0">
      <w:pPr>
        <w:rPr>
          <w:lang w:val="fr-FR"/>
        </w:rPr>
      </w:pPr>
      <w:r w:rsidRPr="00BB642F">
        <w:rPr>
          <w:lang w:val="fr-FR"/>
        </w:rPr>
        <w:br w:type="page"/>
      </w:r>
    </w:p>
    <w:p w14:paraId="1C018071" w14:textId="77777777" w:rsidR="00753DEE" w:rsidRDefault="00F02DE0">
      <w:pPr>
        <w:pStyle w:val="Heading1"/>
      </w:pPr>
      <w:bookmarkStart w:id="144" w:name="_Toc225155492"/>
      <w:bookmarkStart w:id="145" w:name="sec:openapi"/>
      <w:bookmarkEnd w:id="143"/>
      <w:r>
        <w:lastRenderedPageBreak/>
        <w:t>Annex A. OpenAPI Template</w:t>
      </w:r>
      <w:bookmarkEnd w:id="144"/>
    </w:p>
    <w:p w14:paraId="00A91D49" w14:textId="77777777" w:rsidR="00753DEE" w:rsidRDefault="00F02DE0">
      <w:pPr>
        <w:pStyle w:val="SourceCode"/>
      </w:pPr>
      <w:r>
        <w:rPr>
          <w:rStyle w:val="FunctionTok"/>
        </w:rPr>
        <w:t>{</w:t>
      </w:r>
      <w:r>
        <w:br/>
      </w:r>
      <w:r>
        <w:rPr>
          <w:rStyle w:val="NormalTok"/>
        </w:rPr>
        <w:t xml:space="preserve">  </w:t>
      </w:r>
      <w:r>
        <w:rPr>
          <w:rStyle w:val="DataTypeTok"/>
        </w:rPr>
        <w:t>"</w:t>
      </w:r>
      <w:proofErr w:type="spellStart"/>
      <w:r>
        <w:rPr>
          <w:rStyle w:val="DataTypeTok"/>
        </w:rPr>
        <w:t>openapi</w:t>
      </w:r>
      <w:proofErr w:type="spellEnd"/>
      <w:r>
        <w:rPr>
          <w:rStyle w:val="DataTypeTok"/>
        </w:rPr>
        <w:t>"</w:t>
      </w:r>
      <w:r>
        <w:rPr>
          <w:rStyle w:val="FunctionTok"/>
        </w:rPr>
        <w:t>:</w:t>
      </w:r>
      <w:r>
        <w:rPr>
          <w:rStyle w:val="NormalTok"/>
        </w:rPr>
        <w:t xml:space="preserve"> </w:t>
      </w:r>
      <w:r>
        <w:rPr>
          <w:rStyle w:val="StringTok"/>
        </w:rPr>
        <w:t>"3.0.1"</w:t>
      </w:r>
      <w:r>
        <w:rPr>
          <w:rStyle w:val="FunctionTok"/>
        </w:rPr>
        <w:t>,</w:t>
      </w:r>
      <w:r>
        <w:br/>
      </w:r>
      <w:r>
        <w:rPr>
          <w:rStyle w:val="NormalTok"/>
        </w:rPr>
        <w:t xml:space="preserve">  </w:t>
      </w:r>
      <w:r>
        <w:rPr>
          <w:rStyle w:val="DataTypeTok"/>
        </w:rPr>
        <w:t>"info"</w:t>
      </w:r>
      <w:r>
        <w:rPr>
          <w:rStyle w:val="FunctionTok"/>
        </w:rPr>
        <w:t>:</w:t>
      </w:r>
      <w:r>
        <w:rPr>
          <w:rStyle w:val="NormalTok"/>
        </w:rPr>
        <w:t xml:space="preserve"> </w:t>
      </w:r>
      <w:r>
        <w:rPr>
          <w:rStyle w:val="FunctionTok"/>
        </w:rPr>
        <w:t>{</w:t>
      </w:r>
      <w:r>
        <w:br/>
      </w:r>
      <w:r>
        <w:rPr>
          <w:rStyle w:val="NormalTok"/>
        </w:rPr>
        <w:t xml:space="preserve">    </w:t>
      </w:r>
      <w:r>
        <w:rPr>
          <w:rStyle w:val="DataTypeTok"/>
        </w:rPr>
        <w:t>"title"</w:t>
      </w:r>
      <w:r>
        <w:rPr>
          <w:rStyle w:val="FunctionTok"/>
        </w:rPr>
        <w:t>:</w:t>
      </w:r>
      <w:r>
        <w:rPr>
          <w:rStyle w:val="NormalTok"/>
        </w:rPr>
        <w:t xml:space="preserve"> </w:t>
      </w:r>
      <w:r>
        <w:rPr>
          <w:rStyle w:val="StringTok"/>
        </w:rPr>
        <w:t>"</w:t>
      </w:r>
      <w:proofErr w:type="spellStart"/>
      <w:r>
        <w:rPr>
          <w:rStyle w:val="StringTok"/>
        </w:rPr>
        <w:t>AtoN</w:t>
      </w:r>
      <w:proofErr w:type="spellEnd"/>
      <w:r>
        <w:rPr>
          <w:rStyle w:val="StringTok"/>
        </w:rPr>
        <w:t xml:space="preserve"> Service - SECOM v1.0 Interfaces"</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 xml:space="preserve">"The SECOM interfaces of the </w:t>
      </w:r>
      <w:proofErr w:type="spellStart"/>
      <w:r>
        <w:rPr>
          <w:rStyle w:val="StringTok"/>
        </w:rPr>
        <w:t>AtoN</w:t>
      </w:r>
      <w:proofErr w:type="spellEnd"/>
      <w:r>
        <w:rPr>
          <w:rStyle w:val="StringTok"/>
        </w:rPr>
        <w:t xml:space="preserve"> Service"</w:t>
      </w:r>
      <w:r>
        <w:rPr>
          <w:rStyle w:val="FunctionTok"/>
        </w:rPr>
        <w:t>,</w:t>
      </w:r>
      <w:r>
        <w:br/>
      </w:r>
      <w:r>
        <w:rPr>
          <w:rStyle w:val="NormalTok"/>
        </w:rPr>
        <w:t xml:space="preserve">    </w:t>
      </w:r>
      <w:r>
        <w:rPr>
          <w:rStyle w:val="DataTypeTok"/>
        </w:rPr>
        <w:t>"</w:t>
      </w:r>
      <w:proofErr w:type="spellStart"/>
      <w:r>
        <w:rPr>
          <w:rStyle w:val="DataTypeTok"/>
        </w:rPr>
        <w:t>termsOfService</w:t>
      </w:r>
      <w:proofErr w:type="spellEnd"/>
      <w:r>
        <w:rPr>
          <w:rStyle w:val="DataTypeTok"/>
        </w:rPr>
        <w:t>"</w:t>
      </w:r>
      <w:r>
        <w:rPr>
          <w:rStyle w:val="FunctionTok"/>
        </w:rPr>
        <w:t>:</w:t>
      </w:r>
      <w:r>
        <w:rPr>
          <w:rStyle w:val="NormalTok"/>
        </w:rPr>
        <w:t xml:space="preserve"> </w:t>
      </w:r>
      <w:r>
        <w:rPr>
          <w:rStyle w:val="StringTok"/>
        </w:rPr>
        <w:t>"https://gla-rad.org/"</w:t>
      </w:r>
      <w:r>
        <w:rPr>
          <w:rStyle w:val="FunctionTok"/>
        </w:rPr>
        <w:t>,</w:t>
      </w:r>
      <w:r>
        <w:br/>
      </w:r>
      <w:r>
        <w:rPr>
          <w:rStyle w:val="NormalTok"/>
        </w:rPr>
        <w:t xml:space="preserve">    </w:t>
      </w:r>
      <w:r>
        <w:rPr>
          <w:rStyle w:val="DataTypeTok"/>
        </w:rPr>
        <w:t>"contact"</w:t>
      </w:r>
      <w:r>
        <w:rPr>
          <w:rStyle w:val="FunctionTok"/>
        </w:rPr>
        <w:t>:</w:t>
      </w:r>
      <w:r>
        <w:rPr>
          <w:rStyle w:val="NormalTok"/>
        </w:rPr>
        <w:t xml:space="preserve"> </w:t>
      </w:r>
      <w:r>
        <w:rPr>
          <w:rStyle w:val="FunctionTok"/>
        </w:rPr>
        <w:t>{</w:t>
      </w:r>
      <w:r>
        <w:br/>
      </w:r>
      <w:r>
        <w:rPr>
          <w:rStyle w:val="NormalTok"/>
        </w:rPr>
        <w:t xml:space="preserve">      </w:t>
      </w:r>
      <w:r>
        <w:rPr>
          <w:rStyle w:val="DataTypeTok"/>
        </w:rPr>
        <w:t>"email"</w:t>
      </w:r>
      <w:r>
        <w:rPr>
          <w:rStyle w:val="FunctionTok"/>
        </w:rPr>
        <w:t>:</w:t>
      </w:r>
      <w:r>
        <w:rPr>
          <w:rStyle w:val="NormalTok"/>
        </w:rPr>
        <w:t xml:space="preserve"> </w:t>
      </w:r>
      <w:r>
        <w:rPr>
          <w:rStyle w:val="StringTok"/>
        </w:rPr>
        <w:t>"Nikolaos.Vastardis@gla-rad.org"</w:t>
      </w:r>
      <w:r>
        <w:br/>
      </w:r>
      <w:r>
        <w:rPr>
          <w:rStyle w:val="NormalTok"/>
        </w:rPr>
        <w:t xml:space="preserve">    </w:t>
      </w:r>
      <w:r>
        <w:rPr>
          <w:rStyle w:val="FunctionTok"/>
        </w:rPr>
        <w:t>},</w:t>
      </w:r>
      <w:r>
        <w:br/>
      </w:r>
      <w:r>
        <w:rPr>
          <w:rStyle w:val="NormalTok"/>
        </w:rPr>
        <w:t xml:space="preserve">    </w:t>
      </w:r>
      <w:r>
        <w:rPr>
          <w:rStyle w:val="DataTypeTok"/>
        </w:rPr>
        <w:t>"license"</w:t>
      </w:r>
      <w:r>
        <w:rPr>
          <w:rStyle w:val="FunctionTok"/>
        </w:rPr>
        <w:t>:</w:t>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"Apache 2.0"</w:t>
      </w:r>
      <w:r>
        <w:rPr>
          <w:rStyle w:val="FunctionTok"/>
        </w:rPr>
        <w:t>,</w:t>
      </w:r>
      <w:r>
        <w:br/>
      </w:r>
      <w:r>
        <w:rPr>
          <w:rStyle w:val="NormalTok"/>
        </w:rPr>
        <w:t xml:space="preserve">      </w:t>
      </w:r>
      <w:r>
        <w:rPr>
          <w:rStyle w:val="DataTypeTok"/>
        </w:rPr>
        <w:t>"</w:t>
      </w:r>
      <w:proofErr w:type="spellStart"/>
      <w:r>
        <w:rPr>
          <w:rStyle w:val="DataTypeTok"/>
        </w:rPr>
        <w:t>url</w:t>
      </w:r>
      <w:proofErr w:type="spellEnd"/>
      <w:r>
        <w:rPr>
          <w:rStyle w:val="DataTypeTok"/>
        </w:rPr>
        <w:t>"</w:t>
      </w:r>
      <w:r>
        <w:rPr>
          <w:rStyle w:val="FunctionTok"/>
        </w:rPr>
        <w:t>:</w:t>
      </w:r>
      <w:r>
        <w:rPr>
          <w:rStyle w:val="NormalTok"/>
        </w:rPr>
        <w:t xml:space="preserve"> </w:t>
      </w:r>
      <w:r>
        <w:rPr>
          <w:rStyle w:val="StringTok"/>
        </w:rPr>
        <w:t>"http://www.apache.org/licenses/LICENSE-2.0.html"</w:t>
      </w:r>
      <w:r>
        <w:br/>
      </w:r>
      <w:r>
        <w:rPr>
          <w:rStyle w:val="NormalTok"/>
        </w:rPr>
        <w:t xml:space="preserve">    </w:t>
      </w:r>
      <w:r>
        <w:rPr>
          <w:rStyle w:val="FunctionTok"/>
        </w:rPr>
        <w:t>},</w:t>
      </w:r>
      <w:r>
        <w:br/>
      </w:r>
      <w:r>
        <w:rPr>
          <w:rStyle w:val="NormalTok"/>
        </w:rPr>
        <w:t xml:space="preserve">    </w:t>
      </w:r>
      <w:r>
        <w:rPr>
          <w:rStyle w:val="DataTypeTok"/>
        </w:rPr>
        <w:t>"version"</w:t>
      </w:r>
      <w:r>
        <w:rPr>
          <w:rStyle w:val="FunctionTok"/>
        </w:rPr>
        <w:t>:</w:t>
      </w:r>
      <w:r>
        <w:rPr>
          <w:rStyle w:val="NormalTok"/>
        </w:rPr>
        <w:t xml:space="preserve"> </w:t>
      </w:r>
      <w:r>
        <w:rPr>
          <w:rStyle w:val="StringTok"/>
        </w:rPr>
        <w:t>"v0.0.1"</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externalDocs</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w:t>
      </w:r>
      <w:proofErr w:type="spellStart"/>
      <w:r>
        <w:rPr>
          <w:rStyle w:val="StringTok"/>
        </w:rPr>
        <w:t>SpringShop</w:t>
      </w:r>
      <w:proofErr w:type="spellEnd"/>
      <w:r>
        <w:rPr>
          <w:rStyle w:val="StringTok"/>
        </w:rPr>
        <w:t xml:space="preserve"> Wiki Documentation"</w:t>
      </w:r>
      <w:r>
        <w:rPr>
          <w:rStyle w:val="FunctionTok"/>
        </w:rPr>
        <w:t>,</w:t>
      </w:r>
      <w:r>
        <w:br/>
      </w:r>
      <w:r>
        <w:rPr>
          <w:rStyle w:val="NormalTok"/>
        </w:rPr>
        <w:t xml:space="preserve">    </w:t>
      </w:r>
      <w:r>
        <w:rPr>
          <w:rStyle w:val="DataTypeTok"/>
        </w:rPr>
        <w:t>"</w:t>
      </w:r>
      <w:proofErr w:type="spellStart"/>
      <w:r>
        <w:rPr>
          <w:rStyle w:val="DataTypeTok"/>
        </w:rPr>
        <w:t>url</w:t>
      </w:r>
      <w:proofErr w:type="spellEnd"/>
      <w:r>
        <w:rPr>
          <w:rStyle w:val="DataTypeTok"/>
        </w:rPr>
        <w:t>"</w:t>
      </w:r>
      <w:r>
        <w:rPr>
          <w:rStyle w:val="FunctionTok"/>
        </w:rPr>
        <w:t>:</w:t>
      </w:r>
      <w:r>
        <w:rPr>
          <w:rStyle w:val="NormalTok"/>
        </w:rPr>
        <w:t xml:space="preserve"> </w:t>
      </w:r>
      <w:r>
        <w:rPr>
          <w:rStyle w:val="StringTok"/>
        </w:rPr>
        <w:t>"https://springshop.wiki.github.org/docs"</w:t>
      </w:r>
      <w:r>
        <w:br/>
      </w:r>
      <w:r>
        <w:rPr>
          <w:rStyle w:val="NormalTok"/>
        </w:rPr>
        <w:t xml:space="preserve">  </w:t>
      </w:r>
      <w:r>
        <w:rPr>
          <w:rStyle w:val="FunctionTok"/>
        </w:rPr>
        <w:t>},</w:t>
      </w:r>
      <w:r>
        <w:br/>
      </w:r>
      <w:r>
        <w:rPr>
          <w:rStyle w:val="NormalTok"/>
        </w:rPr>
        <w:t xml:space="preserve">  </w:t>
      </w:r>
      <w:r>
        <w:rPr>
          <w:rStyle w:val="DataTypeTok"/>
        </w:rPr>
        <w:t>"servers"</w:t>
      </w:r>
      <w:r>
        <w:rPr>
          <w:rStyle w:val="FunctionTok"/>
        </w:rPr>
        <w:t>:</w:t>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url</w:t>
      </w:r>
      <w:proofErr w:type="spellEnd"/>
      <w:r>
        <w:rPr>
          <w:rStyle w:val="DataTypeTok"/>
        </w:rPr>
        <w:t>"</w:t>
      </w:r>
      <w:r>
        <w:rPr>
          <w:rStyle w:val="FunctionTok"/>
        </w:rPr>
        <w:t>:</w:t>
      </w:r>
      <w:r>
        <w:rPr>
          <w:rStyle w:val="NormalTok"/>
        </w:rPr>
        <w:t xml:space="preserve"> </w:t>
      </w:r>
      <w:r>
        <w:rPr>
          <w:rStyle w:val="String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url</w:t>
      </w:r>
      <w:proofErr w:type="spellEnd"/>
      <w:r>
        <w:rPr>
          <w:rStyle w:val="DataTypeTok"/>
        </w:rPr>
        <w:t>"</w:t>
      </w:r>
      <w:r>
        <w:rPr>
          <w:rStyle w:val="FunctionTok"/>
        </w:rPr>
        <w:t>:</w:t>
      </w:r>
      <w:r>
        <w:rPr>
          <w:rStyle w:val="NormalTok"/>
        </w:rPr>
        <w:t xml:space="preserve"> </w:t>
      </w:r>
      <w:r>
        <w:rPr>
          <w:rStyle w:val="String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url</w:t>
      </w:r>
      <w:proofErr w:type="spellEnd"/>
      <w:r>
        <w:rPr>
          <w:rStyle w:val="DataTypeTok"/>
        </w:rPr>
        <w:t>"</w:t>
      </w:r>
      <w:r>
        <w:rPr>
          <w:rStyle w:val="FunctionTok"/>
        </w:rPr>
        <w:t>:</w:t>
      </w:r>
      <w:r>
        <w:rPr>
          <w:rStyle w:val="NormalTok"/>
        </w:rPr>
        <w:t xml:space="preserve"> </w:t>
      </w:r>
      <w:r>
        <w:rPr>
          <w:rStyle w:val="StringTok"/>
        </w:rPr>
        <w:t>"/</w:t>
      </w:r>
      <w:proofErr w:type="spellStart"/>
      <w:r>
        <w:rPr>
          <w:rStyle w:val="StringTok"/>
        </w:rPr>
        <w:t>api</w:t>
      </w:r>
      <w:proofErr w:type="spellEnd"/>
      <w:r>
        <w:rPr>
          <w:rStyle w:val="StringTok"/>
        </w:rPr>
        <w:t>/</w:t>
      </w:r>
      <w:proofErr w:type="spellStart"/>
      <w:r>
        <w:rPr>
          <w:rStyle w:val="StringTok"/>
        </w:rPr>
        <w:t>secom</w:t>
      </w:r>
      <w:proofErr w:type="spellEnd"/>
      <w:r>
        <w:rPr>
          <w:rStyle w:val="StringTok"/>
        </w:rPr>
        <w:t>"</w:t>
      </w:r>
      <w:r>
        <w:br/>
      </w:r>
      <w:r>
        <w:rPr>
          <w:rStyle w:val="NormalTok"/>
        </w:rPr>
        <w:t xml:space="preserve">    </w:t>
      </w:r>
      <w:r>
        <w:rPr>
          <w:rStyle w:val="Function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"paths"</w:t>
      </w:r>
      <w:r>
        <w:rPr>
          <w:rStyle w:val="FunctionTok"/>
        </w:rPr>
        <w:t>:</w:t>
      </w:r>
      <w:r>
        <w:rPr>
          <w:rStyle w:val="NormalTok"/>
        </w:rPr>
        <w:t xml:space="preserve"> </w:t>
      </w:r>
      <w:r>
        <w:rPr>
          <w:rStyle w:val="FunctionTok"/>
        </w:rPr>
        <w:t>{</w:t>
      </w:r>
      <w:r>
        <w:br/>
      </w:r>
      <w:r>
        <w:rPr>
          <w:rStyle w:val="NormalTok"/>
        </w:rPr>
        <w:t xml:space="preserve">    </w:t>
      </w:r>
      <w:r>
        <w:rPr>
          <w:rStyle w:val="DataTypeTok"/>
        </w:rPr>
        <w:t>"/v1/acknowledgement"</w:t>
      </w:r>
      <w:r>
        <w:rPr>
          <w:rStyle w:val="FunctionTok"/>
        </w:rPr>
        <w:t>:</w:t>
      </w:r>
      <w:r>
        <w:rPr>
          <w:rStyle w:val="NormalTok"/>
        </w:rPr>
        <w:t xml:space="preserve"> </w:t>
      </w:r>
      <w:r>
        <w:rPr>
          <w:rStyle w:val="FunctionTok"/>
        </w:rPr>
        <w:t>{</w:t>
      </w:r>
      <w:r>
        <w:br/>
      </w:r>
      <w:r>
        <w:rPr>
          <w:rStyle w:val="NormalTok"/>
        </w:rPr>
        <w:t xml:space="preserve">      </w:t>
      </w:r>
      <w:r>
        <w:rPr>
          <w:rStyle w:val="DataTypeTok"/>
        </w:rPr>
        <w:t>"post"</w:t>
      </w:r>
      <w:r>
        <w:rPr>
          <w:rStyle w:val="FunctionTok"/>
        </w:rPr>
        <w:t>:</w:t>
      </w:r>
      <w:r>
        <w:rPr>
          <w:rStyle w:val="NormalTok"/>
        </w:rPr>
        <w:t xml:space="preserve"> </w:t>
      </w:r>
      <w:r>
        <w:rPr>
          <w:rStyle w:val="FunctionTok"/>
        </w:rPr>
        <w:t>{</w:t>
      </w:r>
      <w:r>
        <w:br/>
      </w:r>
      <w:r>
        <w:rPr>
          <w:rStyle w:val="NormalTok"/>
        </w:rPr>
        <w:t xml:space="preserve">        </w:t>
      </w:r>
      <w:r>
        <w:rPr>
          <w:rStyle w:val="DataTypeTok"/>
        </w:rPr>
        <w:t>"tags"</w:t>
      </w:r>
      <w:r>
        <w:rPr>
          <w:rStyle w:val="FunctionTok"/>
        </w:rPr>
        <w:t>:</w:t>
      </w:r>
      <w:r>
        <w:rPr>
          <w:rStyle w:val="NormalTok"/>
        </w:rPr>
        <w:t xml:space="preserve"> </w:t>
      </w:r>
      <w:r>
        <w:rPr>
          <w:rStyle w:val="OtherTok"/>
        </w:rPr>
        <w:t>[</w:t>
      </w:r>
      <w:r>
        <w:br/>
      </w:r>
      <w:r>
        <w:rPr>
          <w:rStyle w:val="NormalTok"/>
        </w:rPr>
        <w:t xml:space="preserve">          </w:t>
      </w:r>
      <w:r>
        <w:rPr>
          <w:rStyle w:val="StringTok"/>
        </w:rPr>
        <w:t>"SECOM"</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operationId</w:t>
      </w:r>
      <w:proofErr w:type="spellEnd"/>
      <w:r>
        <w:rPr>
          <w:rStyle w:val="DataTypeTok"/>
        </w:rPr>
        <w:t>"</w:t>
      </w:r>
      <w:r>
        <w:rPr>
          <w:rStyle w:val="FunctionTok"/>
        </w:rPr>
        <w:t>:</w:t>
      </w:r>
      <w:r>
        <w:rPr>
          <w:rStyle w:val="NormalTok"/>
        </w:rPr>
        <w:t xml:space="preserve"> </w:t>
      </w:r>
      <w:r>
        <w:rPr>
          <w:rStyle w:val="StringTok"/>
        </w:rPr>
        <w:t>"acknowledgment"</w:t>
      </w:r>
      <w:r>
        <w:rPr>
          <w:rStyle w:val="FunctionTok"/>
        </w:rPr>
        <w:t>,</w:t>
      </w:r>
      <w:r>
        <w:br/>
      </w:r>
      <w:r>
        <w:rPr>
          <w:rStyle w:val="NormalTok"/>
        </w:rPr>
        <w:t xml:space="preserve">        </w:t>
      </w:r>
      <w:r>
        <w:rPr>
          <w:rStyle w:val="DataTypeTok"/>
        </w:rPr>
        <w:t>"</w:t>
      </w:r>
      <w:proofErr w:type="spellStart"/>
      <w:r>
        <w:rPr>
          <w:rStyle w:val="DataTypeTok"/>
        </w:rPr>
        <w:t>requestBody</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AcknowledgementObject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"responses"</w:t>
      </w:r>
      <w:r>
        <w:rPr>
          <w:rStyle w:val="FunctionTok"/>
        </w:rPr>
        <w:t>:</w:t>
      </w:r>
      <w:r>
        <w:rPr>
          <w:rStyle w:val="NormalTok"/>
        </w:rPr>
        <w:t xml:space="preserve"> </w:t>
      </w:r>
      <w:r>
        <w:rPr>
          <w:rStyle w:val="FunctionTok"/>
        </w:rPr>
        <w:t>{</w:t>
      </w:r>
      <w:r>
        <w:br/>
      </w:r>
      <w:r>
        <w:rPr>
          <w:rStyle w:val="NormalTok"/>
        </w:rPr>
        <w:t xml:space="preserve">          </w:t>
      </w:r>
      <w:r>
        <w:rPr>
          <w:rStyle w:val="DataTypeTok"/>
        </w:rPr>
        <w:t>"default"</w:t>
      </w:r>
      <w:r>
        <w:rPr>
          <w:rStyle w:val="FunctionTok"/>
        </w:rPr>
        <w:t>:</w:t>
      </w:r>
      <w:r>
        <w:rPr>
          <w:rStyle w:val="NormalTok"/>
        </w:rPr>
        <w:t xml:space="preserve"> </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"default response"</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"#/components/schemas/AcknowledgementResponseObject"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lastRenderedPageBreak/>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"/v1/capability"</w:t>
      </w:r>
      <w:r>
        <w:rPr>
          <w:rStyle w:val="FunctionTok"/>
        </w:rPr>
        <w:t>:</w:t>
      </w:r>
      <w:r>
        <w:rPr>
          <w:rStyle w:val="NormalTok"/>
        </w:rPr>
        <w:t xml:space="preserve"> </w:t>
      </w:r>
      <w:r>
        <w:rPr>
          <w:rStyle w:val="FunctionTok"/>
        </w:rPr>
        <w:t>{</w:t>
      </w:r>
      <w:r>
        <w:br/>
      </w:r>
      <w:r>
        <w:rPr>
          <w:rStyle w:val="NormalTok"/>
        </w:rPr>
        <w:t xml:space="preserve">      </w:t>
      </w:r>
      <w:r>
        <w:rPr>
          <w:rStyle w:val="DataTypeTok"/>
        </w:rPr>
        <w:t>"get"</w:t>
      </w:r>
      <w:r>
        <w:rPr>
          <w:rStyle w:val="FunctionTok"/>
        </w:rPr>
        <w:t>:</w:t>
      </w:r>
      <w:r>
        <w:rPr>
          <w:rStyle w:val="NormalTok"/>
        </w:rPr>
        <w:t xml:space="preserve"> </w:t>
      </w:r>
      <w:r>
        <w:rPr>
          <w:rStyle w:val="FunctionTok"/>
        </w:rPr>
        <w:t>{</w:t>
      </w:r>
      <w:r>
        <w:br/>
      </w:r>
      <w:r>
        <w:rPr>
          <w:rStyle w:val="NormalTok"/>
        </w:rPr>
        <w:t xml:space="preserve">        </w:t>
      </w:r>
      <w:r>
        <w:rPr>
          <w:rStyle w:val="DataTypeTok"/>
        </w:rPr>
        <w:t>"tags"</w:t>
      </w:r>
      <w:r>
        <w:rPr>
          <w:rStyle w:val="FunctionTok"/>
        </w:rPr>
        <w:t>:</w:t>
      </w:r>
      <w:r>
        <w:rPr>
          <w:rStyle w:val="NormalTok"/>
        </w:rPr>
        <w:t xml:space="preserve"> </w:t>
      </w:r>
      <w:r>
        <w:rPr>
          <w:rStyle w:val="OtherTok"/>
        </w:rPr>
        <w:t>[</w:t>
      </w:r>
      <w:r>
        <w:br/>
      </w:r>
      <w:r>
        <w:rPr>
          <w:rStyle w:val="NormalTok"/>
        </w:rPr>
        <w:t xml:space="preserve">          </w:t>
      </w:r>
      <w:r>
        <w:rPr>
          <w:rStyle w:val="StringTok"/>
        </w:rPr>
        <w:t>"SECOM"</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operationId</w:t>
      </w:r>
      <w:proofErr w:type="spellEnd"/>
      <w:r>
        <w:rPr>
          <w:rStyle w:val="DataTypeTok"/>
        </w:rPr>
        <w:t>"</w:t>
      </w:r>
      <w:r>
        <w:rPr>
          <w:rStyle w:val="FunctionTok"/>
        </w:rPr>
        <w:t>:</w:t>
      </w:r>
      <w:r>
        <w:rPr>
          <w:rStyle w:val="NormalTok"/>
        </w:rPr>
        <w:t xml:space="preserve"> </w:t>
      </w:r>
      <w:r>
        <w:rPr>
          <w:rStyle w:val="StringTok"/>
        </w:rPr>
        <w:t>"capability"</w:t>
      </w:r>
      <w:r>
        <w:rPr>
          <w:rStyle w:val="FunctionTok"/>
        </w:rPr>
        <w:t>,</w:t>
      </w:r>
      <w:r>
        <w:br/>
      </w:r>
      <w:r>
        <w:rPr>
          <w:rStyle w:val="NormalTok"/>
        </w:rPr>
        <w:t xml:space="preserve">        </w:t>
      </w:r>
      <w:r>
        <w:rPr>
          <w:rStyle w:val="DataTypeTok"/>
        </w:rPr>
        <w:t>"responses"</w:t>
      </w:r>
      <w:r>
        <w:rPr>
          <w:rStyle w:val="FunctionTok"/>
        </w:rPr>
        <w:t>:</w:t>
      </w:r>
      <w:r>
        <w:rPr>
          <w:rStyle w:val="NormalTok"/>
        </w:rPr>
        <w:t xml:space="preserve"> </w:t>
      </w:r>
      <w:r>
        <w:rPr>
          <w:rStyle w:val="FunctionTok"/>
        </w:rPr>
        <w:t>{</w:t>
      </w:r>
      <w:r>
        <w:br/>
      </w:r>
      <w:r>
        <w:rPr>
          <w:rStyle w:val="NormalTok"/>
        </w:rPr>
        <w:t xml:space="preserve">          </w:t>
      </w:r>
      <w:r>
        <w:rPr>
          <w:rStyle w:val="DataTypeTok"/>
        </w:rPr>
        <w:t>"default"</w:t>
      </w:r>
      <w:r>
        <w:rPr>
          <w:rStyle w:val="FunctionTok"/>
        </w:rPr>
        <w:t>:</w:t>
      </w:r>
      <w:r>
        <w:rPr>
          <w:rStyle w:val="NormalTok"/>
        </w:rPr>
        <w:t xml:space="preserve"> </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"default response"</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CapabilityResponseObject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"/v1/object"</w:t>
      </w:r>
      <w:r>
        <w:rPr>
          <w:rStyle w:val="FunctionTok"/>
        </w:rPr>
        <w:t>:</w:t>
      </w:r>
      <w:r>
        <w:rPr>
          <w:rStyle w:val="NormalTok"/>
        </w:rPr>
        <w:t xml:space="preserve"> </w:t>
      </w:r>
      <w:r>
        <w:rPr>
          <w:rStyle w:val="FunctionTok"/>
        </w:rPr>
        <w:t>{</w:t>
      </w:r>
      <w:r>
        <w:br/>
      </w:r>
      <w:r>
        <w:rPr>
          <w:rStyle w:val="NormalTok"/>
        </w:rPr>
        <w:t xml:space="preserve">      </w:t>
      </w:r>
      <w:r>
        <w:rPr>
          <w:rStyle w:val="DataTypeTok"/>
        </w:rPr>
        <w:t>"get"</w:t>
      </w:r>
      <w:r>
        <w:rPr>
          <w:rStyle w:val="FunctionTok"/>
        </w:rPr>
        <w:t>:</w:t>
      </w:r>
      <w:r>
        <w:rPr>
          <w:rStyle w:val="NormalTok"/>
        </w:rPr>
        <w:t xml:space="preserve"> </w:t>
      </w:r>
      <w:r>
        <w:rPr>
          <w:rStyle w:val="FunctionTok"/>
        </w:rPr>
        <w:t>{</w:t>
      </w:r>
      <w:r>
        <w:br/>
      </w:r>
      <w:r>
        <w:rPr>
          <w:rStyle w:val="NormalTok"/>
        </w:rPr>
        <w:t xml:space="preserve">        </w:t>
      </w:r>
      <w:r>
        <w:rPr>
          <w:rStyle w:val="DataTypeTok"/>
        </w:rPr>
        <w:t>"tags"</w:t>
      </w:r>
      <w:r>
        <w:rPr>
          <w:rStyle w:val="FunctionTok"/>
        </w:rPr>
        <w:t>:</w:t>
      </w:r>
      <w:r>
        <w:rPr>
          <w:rStyle w:val="NormalTok"/>
        </w:rPr>
        <w:t xml:space="preserve"> </w:t>
      </w:r>
      <w:r>
        <w:rPr>
          <w:rStyle w:val="OtherTok"/>
        </w:rPr>
        <w:t>[</w:t>
      </w:r>
      <w:r>
        <w:br/>
      </w:r>
      <w:r>
        <w:rPr>
          <w:rStyle w:val="NormalTok"/>
        </w:rPr>
        <w:t xml:space="preserve">          </w:t>
      </w:r>
      <w:r>
        <w:rPr>
          <w:rStyle w:val="StringTok"/>
        </w:rPr>
        <w:t>"SECOM"</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operationId</w:t>
      </w:r>
      <w:proofErr w:type="spellEnd"/>
      <w:r>
        <w:rPr>
          <w:rStyle w:val="DataTypeTok"/>
        </w:rPr>
        <w:t>"</w:t>
      </w:r>
      <w:r>
        <w:rPr>
          <w:rStyle w:val="FunctionTok"/>
        </w:rPr>
        <w:t>:</w:t>
      </w:r>
      <w:r>
        <w:rPr>
          <w:rStyle w:val="NormalTok"/>
        </w:rPr>
        <w:t xml:space="preserve"> </w:t>
      </w:r>
      <w:r>
        <w:rPr>
          <w:rStyle w:val="StringTok"/>
        </w:rPr>
        <w:t>"get"</w:t>
      </w:r>
      <w:r>
        <w:rPr>
          <w:rStyle w:val="FunctionTok"/>
        </w:rPr>
        <w:t>,</w:t>
      </w:r>
      <w:r>
        <w:br/>
      </w:r>
      <w:r>
        <w:rPr>
          <w:rStyle w:val="NormalTok"/>
        </w:rPr>
        <w:t xml:space="preserve">        </w:t>
      </w:r>
      <w:r>
        <w:rPr>
          <w:rStyle w:val="DataTypeTok"/>
        </w:rPr>
        <w:t>"parameters"</w:t>
      </w:r>
      <w:r>
        <w:rPr>
          <w:rStyle w:val="FunctionTok"/>
        </w:rPr>
        <w:t>:</w:t>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dataReference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w:t>
      </w:r>
      <w:proofErr w:type="spellStart"/>
      <w:r>
        <w:rPr>
          <w:rStyle w:val="StringTok"/>
        </w:rPr>
        <w:t>uuid</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containerType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enum</w:t>
      </w:r>
      <w:proofErr w:type="spellEnd"/>
      <w:r>
        <w:rPr>
          <w:rStyle w:val="DataTypeTok"/>
        </w:rPr>
        <w:t>"</w:t>
      </w:r>
      <w:r>
        <w:rPr>
          <w:rStyle w:val="FunctionTok"/>
        </w:rPr>
        <w:t>:</w:t>
      </w:r>
      <w:r>
        <w:rPr>
          <w:rStyle w:val="NormalTok"/>
        </w:rPr>
        <w:t xml:space="preserve"> </w:t>
      </w:r>
      <w:r>
        <w:rPr>
          <w:rStyle w:val="OtherTok"/>
        </w:rPr>
        <w:t>[</w:t>
      </w:r>
      <w:r>
        <w:br/>
      </w:r>
      <w:r>
        <w:rPr>
          <w:rStyle w:val="NormalTok"/>
        </w:rPr>
        <w:t xml:space="preserve">                </w:t>
      </w:r>
      <w:r>
        <w:rPr>
          <w:rStyle w:val="StringTok"/>
        </w:rPr>
        <w:t>"0"</w:t>
      </w:r>
      <w:r>
        <w:rPr>
          <w:rStyle w:val="OtherTok"/>
        </w:rPr>
        <w:t>,</w:t>
      </w:r>
      <w:r>
        <w:br/>
      </w:r>
      <w:r>
        <w:rPr>
          <w:rStyle w:val="NormalTok"/>
        </w:rPr>
        <w:lastRenderedPageBreak/>
        <w:t xml:space="preserve">                </w:t>
      </w:r>
      <w:r>
        <w:rPr>
          <w:rStyle w:val="StringTok"/>
        </w:rPr>
        <w:t>"1"</w:t>
      </w:r>
      <w:r>
        <w:rPr>
          <w:rStyle w:val="OtherTok"/>
        </w:rPr>
        <w:t>,</w:t>
      </w:r>
      <w:r>
        <w:br/>
      </w:r>
      <w:r>
        <w:rPr>
          <w:rStyle w:val="NormalTok"/>
        </w:rPr>
        <w:t xml:space="preserve">                </w:t>
      </w:r>
      <w:r>
        <w:rPr>
          <w:rStyle w:val="StringTok"/>
        </w:rPr>
        <w:t>"2"</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dataProductType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enum</w:t>
      </w:r>
      <w:proofErr w:type="spellEnd"/>
      <w:r>
        <w:rPr>
          <w:rStyle w:val="DataTypeTok"/>
        </w:rPr>
        <w:t>"</w:t>
      </w:r>
      <w:r>
        <w:rPr>
          <w:rStyle w:val="FunctionTok"/>
        </w:rPr>
        <w:t>:</w:t>
      </w:r>
      <w:r>
        <w:rPr>
          <w:rStyle w:val="NormalTok"/>
        </w:rPr>
        <w:t xml:space="preserve"> </w:t>
      </w:r>
      <w:r>
        <w:rPr>
          <w:rStyle w:val="OtherTok"/>
        </w:rPr>
        <w:t>[</w:t>
      </w:r>
      <w:r>
        <w:br/>
      </w:r>
      <w:r>
        <w:rPr>
          <w:rStyle w:val="NormalTok"/>
        </w:rPr>
        <w:t xml:space="preserve">                </w:t>
      </w:r>
      <w:r>
        <w:rPr>
          <w:rStyle w:val="StringTok"/>
        </w:rPr>
        <w:t>"OTHER"</w:t>
      </w:r>
      <w:r>
        <w:rPr>
          <w:rStyle w:val="OtherTok"/>
        </w:rPr>
        <w:t>,</w:t>
      </w:r>
      <w:r>
        <w:br/>
      </w:r>
      <w:r>
        <w:rPr>
          <w:rStyle w:val="NormalTok"/>
        </w:rPr>
        <w:t xml:space="preserve">                </w:t>
      </w:r>
      <w:r>
        <w:rPr>
          <w:rStyle w:val="StringTok"/>
        </w:rPr>
        <w:t>"S57"</w:t>
      </w:r>
      <w:r>
        <w:rPr>
          <w:rStyle w:val="OtherTok"/>
        </w:rPr>
        <w:t>,</w:t>
      </w:r>
      <w:r>
        <w:br/>
      </w:r>
      <w:r>
        <w:rPr>
          <w:rStyle w:val="NormalTok"/>
        </w:rPr>
        <w:t xml:space="preserve">                </w:t>
      </w:r>
      <w:r>
        <w:rPr>
          <w:rStyle w:val="StringTok"/>
        </w:rPr>
        <w:t>"S101"</w:t>
      </w:r>
      <w:r>
        <w:rPr>
          <w:rStyle w:val="OtherTok"/>
        </w:rPr>
        <w:t>,</w:t>
      </w:r>
      <w:r>
        <w:br/>
      </w:r>
      <w:r>
        <w:rPr>
          <w:rStyle w:val="NormalTok"/>
        </w:rPr>
        <w:t xml:space="preserve">                </w:t>
      </w:r>
      <w:r>
        <w:rPr>
          <w:rStyle w:val="StringTok"/>
        </w:rPr>
        <w:t>"S102"</w:t>
      </w:r>
      <w:r>
        <w:rPr>
          <w:rStyle w:val="OtherTok"/>
        </w:rPr>
        <w:t>,</w:t>
      </w:r>
      <w:r>
        <w:br/>
      </w:r>
      <w:r>
        <w:rPr>
          <w:rStyle w:val="NormalTok"/>
        </w:rPr>
        <w:t xml:space="preserve">                </w:t>
      </w:r>
      <w:r>
        <w:rPr>
          <w:rStyle w:val="StringTok"/>
        </w:rPr>
        <w:t>"S104"</w:t>
      </w:r>
      <w:r>
        <w:rPr>
          <w:rStyle w:val="OtherTok"/>
        </w:rPr>
        <w:t>,</w:t>
      </w:r>
      <w:r>
        <w:br/>
      </w:r>
      <w:r>
        <w:rPr>
          <w:rStyle w:val="NormalTok"/>
        </w:rPr>
        <w:t xml:space="preserve">                </w:t>
      </w:r>
      <w:r>
        <w:rPr>
          <w:rStyle w:val="StringTok"/>
        </w:rPr>
        <w:t>"S111"</w:t>
      </w:r>
      <w:r>
        <w:rPr>
          <w:rStyle w:val="OtherTok"/>
        </w:rPr>
        <w:t>,</w:t>
      </w:r>
      <w:r>
        <w:br/>
      </w:r>
      <w:r>
        <w:rPr>
          <w:rStyle w:val="NormalTok"/>
        </w:rPr>
        <w:t xml:space="preserve">                </w:t>
      </w:r>
      <w:r>
        <w:rPr>
          <w:rStyle w:val="StringTok"/>
        </w:rPr>
        <w:t>"S122"</w:t>
      </w:r>
      <w:r>
        <w:rPr>
          <w:rStyle w:val="OtherTok"/>
        </w:rPr>
        <w:t>,</w:t>
      </w:r>
      <w:r>
        <w:br/>
      </w:r>
      <w:r>
        <w:rPr>
          <w:rStyle w:val="NormalTok"/>
        </w:rPr>
        <w:t xml:space="preserve">                </w:t>
      </w:r>
      <w:r>
        <w:rPr>
          <w:rStyle w:val="StringTok"/>
        </w:rPr>
        <w:t>"S123"</w:t>
      </w:r>
      <w:r>
        <w:rPr>
          <w:rStyle w:val="OtherTok"/>
        </w:rPr>
        <w:t>,</w:t>
      </w:r>
      <w:r>
        <w:br/>
      </w:r>
      <w:r>
        <w:rPr>
          <w:rStyle w:val="NormalTok"/>
        </w:rPr>
        <w:t xml:space="preserve">                </w:t>
      </w:r>
      <w:r>
        <w:rPr>
          <w:rStyle w:val="StringTok"/>
        </w:rPr>
        <w:t>"S124"</w:t>
      </w:r>
      <w:r>
        <w:rPr>
          <w:rStyle w:val="OtherTok"/>
        </w:rPr>
        <w:t>,</w:t>
      </w:r>
      <w:r>
        <w:br/>
      </w:r>
      <w:r>
        <w:rPr>
          <w:rStyle w:val="NormalTok"/>
        </w:rPr>
        <w:t xml:space="preserve">                </w:t>
      </w:r>
      <w:r>
        <w:rPr>
          <w:rStyle w:val="StringTok"/>
        </w:rPr>
        <w:t>"S125"</w:t>
      </w:r>
      <w:r>
        <w:rPr>
          <w:rStyle w:val="OtherTok"/>
        </w:rPr>
        <w:t>,</w:t>
      </w:r>
      <w:r>
        <w:br/>
      </w:r>
      <w:r>
        <w:rPr>
          <w:rStyle w:val="NormalTok"/>
        </w:rPr>
        <w:t xml:space="preserve">                </w:t>
      </w:r>
      <w:r>
        <w:rPr>
          <w:rStyle w:val="StringTok"/>
        </w:rPr>
        <w:t>"S126"</w:t>
      </w:r>
      <w:r>
        <w:rPr>
          <w:rStyle w:val="OtherTok"/>
        </w:rPr>
        <w:t>,</w:t>
      </w:r>
      <w:r>
        <w:br/>
      </w:r>
      <w:r>
        <w:rPr>
          <w:rStyle w:val="NormalTok"/>
        </w:rPr>
        <w:t xml:space="preserve">                </w:t>
      </w:r>
      <w:r>
        <w:rPr>
          <w:rStyle w:val="StringTok"/>
        </w:rPr>
        <w:t>"S127"</w:t>
      </w:r>
      <w:r>
        <w:rPr>
          <w:rStyle w:val="OtherTok"/>
        </w:rPr>
        <w:t>,</w:t>
      </w:r>
      <w:r>
        <w:br/>
      </w:r>
      <w:r>
        <w:rPr>
          <w:rStyle w:val="NormalTok"/>
        </w:rPr>
        <w:t xml:space="preserve">                </w:t>
      </w:r>
      <w:r>
        <w:rPr>
          <w:rStyle w:val="StringTok"/>
        </w:rPr>
        <w:t>"S128"</w:t>
      </w:r>
      <w:r>
        <w:rPr>
          <w:rStyle w:val="OtherTok"/>
        </w:rPr>
        <w:t>,</w:t>
      </w:r>
      <w:r>
        <w:br/>
      </w:r>
      <w:r>
        <w:rPr>
          <w:rStyle w:val="NormalTok"/>
        </w:rPr>
        <w:t xml:space="preserve">                </w:t>
      </w:r>
      <w:r>
        <w:rPr>
          <w:rStyle w:val="StringTok"/>
        </w:rPr>
        <w:t>"S129"</w:t>
      </w:r>
      <w:r>
        <w:rPr>
          <w:rStyle w:val="OtherTok"/>
        </w:rPr>
        <w:t>,</w:t>
      </w:r>
      <w:r>
        <w:br/>
      </w:r>
      <w:r>
        <w:rPr>
          <w:rStyle w:val="NormalTok"/>
        </w:rPr>
        <w:t xml:space="preserve">                </w:t>
      </w:r>
      <w:r>
        <w:rPr>
          <w:rStyle w:val="StringTok"/>
        </w:rPr>
        <w:t>"S131"</w:t>
      </w:r>
      <w:r>
        <w:rPr>
          <w:rStyle w:val="OtherTok"/>
        </w:rPr>
        <w:t>,</w:t>
      </w:r>
      <w:r>
        <w:br/>
      </w:r>
      <w:r>
        <w:rPr>
          <w:rStyle w:val="NormalTok"/>
        </w:rPr>
        <w:t xml:space="preserve">                </w:t>
      </w:r>
      <w:r>
        <w:rPr>
          <w:rStyle w:val="StringTok"/>
        </w:rPr>
        <w:t>"S201"</w:t>
      </w:r>
      <w:r>
        <w:rPr>
          <w:rStyle w:val="OtherTok"/>
        </w:rPr>
        <w:t>,</w:t>
      </w:r>
      <w:r>
        <w:br/>
      </w:r>
      <w:r>
        <w:rPr>
          <w:rStyle w:val="NormalTok"/>
        </w:rPr>
        <w:t xml:space="preserve">                </w:t>
      </w:r>
      <w:r>
        <w:rPr>
          <w:rStyle w:val="StringTok"/>
        </w:rPr>
        <w:t>"S210"</w:t>
      </w:r>
      <w:r>
        <w:rPr>
          <w:rStyle w:val="OtherTok"/>
        </w:rPr>
        <w:t>,</w:t>
      </w:r>
      <w:r>
        <w:br/>
      </w:r>
      <w:r>
        <w:rPr>
          <w:rStyle w:val="NormalTok"/>
        </w:rPr>
        <w:t xml:space="preserve">                </w:t>
      </w:r>
      <w:r>
        <w:rPr>
          <w:rStyle w:val="StringTok"/>
        </w:rPr>
        <w:t>"S211"</w:t>
      </w:r>
      <w:r>
        <w:rPr>
          <w:rStyle w:val="OtherTok"/>
        </w:rPr>
        <w:t>,</w:t>
      </w:r>
      <w:r>
        <w:br/>
      </w:r>
      <w:r>
        <w:rPr>
          <w:rStyle w:val="NormalTok"/>
        </w:rPr>
        <w:t xml:space="preserve">                </w:t>
      </w:r>
      <w:r>
        <w:rPr>
          <w:rStyle w:val="StringTok"/>
        </w:rPr>
        <w:t>"S212"</w:t>
      </w:r>
      <w:r>
        <w:rPr>
          <w:rStyle w:val="OtherTok"/>
        </w:rPr>
        <w:t>,</w:t>
      </w:r>
      <w:r>
        <w:br/>
      </w:r>
      <w:r>
        <w:rPr>
          <w:rStyle w:val="NormalTok"/>
        </w:rPr>
        <w:t xml:space="preserve">                </w:t>
      </w:r>
      <w:r>
        <w:rPr>
          <w:rStyle w:val="StringTok"/>
        </w:rPr>
        <w:t>"S401"</w:t>
      </w:r>
      <w:r>
        <w:rPr>
          <w:rStyle w:val="OtherTok"/>
        </w:rPr>
        <w:t>,</w:t>
      </w:r>
      <w:r>
        <w:br/>
      </w:r>
      <w:r>
        <w:rPr>
          <w:rStyle w:val="NormalTok"/>
        </w:rPr>
        <w:t xml:space="preserve">                </w:t>
      </w:r>
      <w:r>
        <w:rPr>
          <w:rStyle w:val="StringTok"/>
        </w:rPr>
        <w:t>"S402"</w:t>
      </w:r>
      <w:r>
        <w:rPr>
          <w:rStyle w:val="OtherTok"/>
        </w:rPr>
        <w:t>,</w:t>
      </w:r>
      <w:r>
        <w:br/>
      </w:r>
      <w:r>
        <w:rPr>
          <w:rStyle w:val="NormalTok"/>
        </w:rPr>
        <w:t xml:space="preserve">                </w:t>
      </w:r>
      <w:r>
        <w:rPr>
          <w:rStyle w:val="StringTok"/>
        </w:rPr>
        <w:t>"S411"</w:t>
      </w:r>
      <w:r>
        <w:rPr>
          <w:rStyle w:val="OtherTok"/>
        </w:rPr>
        <w:t>,</w:t>
      </w:r>
      <w:r>
        <w:br/>
      </w:r>
      <w:r>
        <w:rPr>
          <w:rStyle w:val="NormalTok"/>
        </w:rPr>
        <w:t xml:space="preserve">                </w:t>
      </w:r>
      <w:r>
        <w:rPr>
          <w:rStyle w:val="StringTok"/>
        </w:rPr>
        <w:t>"S412"</w:t>
      </w:r>
      <w:r>
        <w:rPr>
          <w:rStyle w:val="OtherTok"/>
        </w:rPr>
        <w:t>,</w:t>
      </w:r>
      <w:r>
        <w:br/>
      </w:r>
      <w:r>
        <w:rPr>
          <w:rStyle w:val="NormalTok"/>
        </w:rPr>
        <w:t xml:space="preserve">                </w:t>
      </w:r>
      <w:r>
        <w:rPr>
          <w:rStyle w:val="StringTok"/>
        </w:rPr>
        <w:t>"S413"</w:t>
      </w:r>
      <w:r>
        <w:rPr>
          <w:rStyle w:val="OtherTok"/>
        </w:rPr>
        <w:t>,</w:t>
      </w:r>
      <w:r>
        <w:br/>
      </w:r>
      <w:r>
        <w:rPr>
          <w:rStyle w:val="NormalTok"/>
        </w:rPr>
        <w:t xml:space="preserve">                </w:t>
      </w:r>
      <w:r>
        <w:rPr>
          <w:rStyle w:val="StringTok"/>
        </w:rPr>
        <w:t>"S414"</w:t>
      </w:r>
      <w:r>
        <w:rPr>
          <w:rStyle w:val="OtherTok"/>
        </w:rPr>
        <w:t>,</w:t>
      </w:r>
      <w:r>
        <w:br/>
      </w:r>
      <w:r>
        <w:rPr>
          <w:rStyle w:val="NormalTok"/>
        </w:rPr>
        <w:t xml:space="preserve">                </w:t>
      </w:r>
      <w:r>
        <w:rPr>
          <w:rStyle w:val="StringTok"/>
        </w:rPr>
        <w:t>"S421"</w:t>
      </w:r>
      <w:r>
        <w:rPr>
          <w:rStyle w:val="OtherTok"/>
        </w:rPr>
        <w:t>,</w:t>
      </w:r>
      <w:r>
        <w:br/>
      </w:r>
      <w:r>
        <w:rPr>
          <w:rStyle w:val="NormalTok"/>
        </w:rPr>
        <w:t xml:space="preserve">                </w:t>
      </w:r>
      <w:r>
        <w:rPr>
          <w:rStyle w:val="StringTok"/>
        </w:rPr>
        <w:t>"RTZ"</w:t>
      </w:r>
      <w:r>
        <w:rPr>
          <w:rStyle w:val="OtherTok"/>
        </w:rPr>
        <w:t>,</w:t>
      </w:r>
      <w:r>
        <w:br/>
      </w:r>
      <w:r>
        <w:rPr>
          <w:rStyle w:val="NormalTok"/>
        </w:rPr>
        <w:t xml:space="preserve">                </w:t>
      </w:r>
      <w:r>
        <w:rPr>
          <w:rStyle w:val="StringTok"/>
        </w:rPr>
        <w:t>"EPC"</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productVersion</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"geometry"</w:t>
      </w:r>
      <w:r>
        <w:rPr>
          <w:rStyle w:val="FunctionTok"/>
        </w:rPr>
        <w:t>,</w:t>
      </w:r>
      <w:r>
        <w:br/>
      </w:r>
      <w:r>
        <w:rPr>
          <w:rStyle w:val="NormalTok"/>
        </w:rPr>
        <w:lastRenderedPageBreak/>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unlocode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"[A-Z]{5}"</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validFrom</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"20200101T123000"</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validTo</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"20200101T123000"</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"page"</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"minimum"</w:t>
      </w:r>
      <w:r>
        <w:rPr>
          <w:rStyle w:val="FunctionTok"/>
        </w:rPr>
        <w:t>:</w:t>
      </w:r>
      <w:r>
        <w:rPr>
          <w:rStyle w:val="NormalTok"/>
        </w:rPr>
        <w:t xml:space="preserve"> </w:t>
      </w:r>
      <w:r>
        <w:rPr>
          <w:rStyle w:val="DecValTok"/>
        </w:rPr>
        <w:t>1</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lastRenderedPageBreak/>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pageSize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"minimum"</w:t>
      </w:r>
      <w:r>
        <w:rPr>
          <w:rStyle w:val="FunctionTok"/>
        </w:rPr>
        <w:t>:</w:t>
      </w:r>
      <w:r>
        <w:rPr>
          <w:rStyle w:val="NormalTok"/>
        </w:rPr>
        <w:t xml:space="preserve"> </w:t>
      </w:r>
      <w:r>
        <w:rPr>
          <w:rStyle w:val="DecValTok"/>
        </w:rPr>
        <w:t>0</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"responses"</w:t>
      </w:r>
      <w:r>
        <w:rPr>
          <w:rStyle w:val="FunctionTok"/>
        </w:rPr>
        <w:t>:</w:t>
      </w:r>
      <w:r>
        <w:rPr>
          <w:rStyle w:val="NormalTok"/>
        </w:rPr>
        <w:t xml:space="preserve"> </w:t>
      </w:r>
      <w:r>
        <w:rPr>
          <w:rStyle w:val="FunctionTok"/>
        </w:rPr>
        <w:t>{</w:t>
      </w:r>
      <w:r>
        <w:br/>
      </w:r>
      <w:r>
        <w:rPr>
          <w:rStyle w:val="NormalTok"/>
        </w:rPr>
        <w:t xml:space="preserve">          </w:t>
      </w:r>
      <w:r>
        <w:rPr>
          <w:rStyle w:val="DataTypeTok"/>
        </w:rPr>
        <w:t>"default"</w:t>
      </w:r>
      <w:r>
        <w:rPr>
          <w:rStyle w:val="FunctionTok"/>
        </w:rPr>
        <w:t>:</w:t>
      </w:r>
      <w:r>
        <w:rPr>
          <w:rStyle w:val="NormalTok"/>
        </w:rPr>
        <w:t xml:space="preserve"> </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"default response"</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GetResponseObject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"/v1/object/summary"</w:t>
      </w:r>
      <w:r>
        <w:rPr>
          <w:rStyle w:val="FunctionTok"/>
        </w:rPr>
        <w:t>:</w:t>
      </w:r>
      <w:r>
        <w:rPr>
          <w:rStyle w:val="NormalTok"/>
        </w:rPr>
        <w:t xml:space="preserve"> </w:t>
      </w:r>
      <w:r>
        <w:rPr>
          <w:rStyle w:val="FunctionTok"/>
        </w:rPr>
        <w:t>{</w:t>
      </w:r>
      <w:r>
        <w:br/>
      </w:r>
      <w:r>
        <w:rPr>
          <w:rStyle w:val="NormalTok"/>
        </w:rPr>
        <w:t xml:space="preserve">      </w:t>
      </w:r>
      <w:r>
        <w:rPr>
          <w:rStyle w:val="DataTypeTok"/>
        </w:rPr>
        <w:t>"get"</w:t>
      </w:r>
      <w:r>
        <w:rPr>
          <w:rStyle w:val="FunctionTok"/>
        </w:rPr>
        <w:t>:</w:t>
      </w:r>
      <w:r>
        <w:rPr>
          <w:rStyle w:val="NormalTok"/>
        </w:rPr>
        <w:t xml:space="preserve"> </w:t>
      </w:r>
      <w:r>
        <w:rPr>
          <w:rStyle w:val="FunctionTok"/>
        </w:rPr>
        <w:t>{</w:t>
      </w:r>
      <w:r>
        <w:br/>
      </w:r>
      <w:r>
        <w:rPr>
          <w:rStyle w:val="NormalTok"/>
        </w:rPr>
        <w:t xml:space="preserve">        </w:t>
      </w:r>
      <w:r>
        <w:rPr>
          <w:rStyle w:val="DataTypeTok"/>
        </w:rPr>
        <w:t>"tags"</w:t>
      </w:r>
      <w:r>
        <w:rPr>
          <w:rStyle w:val="FunctionTok"/>
        </w:rPr>
        <w:t>:</w:t>
      </w:r>
      <w:r>
        <w:rPr>
          <w:rStyle w:val="NormalTok"/>
        </w:rPr>
        <w:t xml:space="preserve"> </w:t>
      </w:r>
      <w:r>
        <w:rPr>
          <w:rStyle w:val="OtherTok"/>
        </w:rPr>
        <w:t>[</w:t>
      </w:r>
      <w:r>
        <w:br/>
      </w:r>
      <w:r>
        <w:rPr>
          <w:rStyle w:val="NormalTok"/>
        </w:rPr>
        <w:t xml:space="preserve">          </w:t>
      </w:r>
      <w:r>
        <w:rPr>
          <w:rStyle w:val="StringTok"/>
        </w:rPr>
        <w:t>"SECOM"</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operationId</w:t>
      </w:r>
      <w:proofErr w:type="spellEnd"/>
      <w:r>
        <w:rPr>
          <w:rStyle w:val="DataTypeTok"/>
        </w:rPr>
        <w:t>"</w:t>
      </w:r>
      <w:r>
        <w:rPr>
          <w:rStyle w:val="FunctionTok"/>
        </w:rPr>
        <w:t>:</w:t>
      </w:r>
      <w:r>
        <w:rPr>
          <w:rStyle w:val="NormalTok"/>
        </w:rPr>
        <w:t xml:space="preserve"> </w:t>
      </w:r>
      <w:r>
        <w:rPr>
          <w:rStyle w:val="StringTok"/>
        </w:rPr>
        <w:t>"</w:t>
      </w:r>
      <w:proofErr w:type="spellStart"/>
      <w:r>
        <w:rPr>
          <w:rStyle w:val="StringTok"/>
        </w:rPr>
        <w:t>getSummary</w:t>
      </w:r>
      <w:proofErr w:type="spellEnd"/>
      <w:r>
        <w:rPr>
          <w:rStyle w:val="StringTok"/>
        </w:rPr>
        <w:t>"</w:t>
      </w:r>
      <w:r>
        <w:rPr>
          <w:rStyle w:val="FunctionTok"/>
        </w:rPr>
        <w:t>,</w:t>
      </w:r>
      <w:r>
        <w:br/>
      </w:r>
      <w:r>
        <w:rPr>
          <w:rStyle w:val="NormalTok"/>
        </w:rPr>
        <w:t xml:space="preserve">        </w:t>
      </w:r>
      <w:r>
        <w:rPr>
          <w:rStyle w:val="DataTypeTok"/>
        </w:rPr>
        <w:t>"parameters"</w:t>
      </w:r>
      <w:r>
        <w:rPr>
          <w:rStyle w:val="FunctionTok"/>
        </w:rPr>
        <w:t>:</w:t>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containerType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enum</w:t>
      </w:r>
      <w:proofErr w:type="spellEnd"/>
      <w:r>
        <w:rPr>
          <w:rStyle w:val="DataTypeTok"/>
        </w:rPr>
        <w:t>"</w:t>
      </w:r>
      <w:r>
        <w:rPr>
          <w:rStyle w:val="FunctionTok"/>
        </w:rPr>
        <w:t>:</w:t>
      </w:r>
      <w:r>
        <w:rPr>
          <w:rStyle w:val="NormalTok"/>
        </w:rPr>
        <w:t xml:space="preserve"> </w:t>
      </w:r>
      <w:r>
        <w:rPr>
          <w:rStyle w:val="OtherTok"/>
        </w:rPr>
        <w:t>[</w:t>
      </w:r>
      <w:r>
        <w:br/>
      </w:r>
      <w:r>
        <w:rPr>
          <w:rStyle w:val="NormalTok"/>
        </w:rPr>
        <w:t xml:space="preserve">                </w:t>
      </w:r>
      <w:r>
        <w:rPr>
          <w:rStyle w:val="StringTok"/>
        </w:rPr>
        <w:t>"0"</w:t>
      </w:r>
      <w:r>
        <w:rPr>
          <w:rStyle w:val="OtherTok"/>
        </w:rPr>
        <w:t>,</w:t>
      </w:r>
      <w:r>
        <w:br/>
      </w:r>
      <w:r>
        <w:rPr>
          <w:rStyle w:val="NormalTok"/>
        </w:rPr>
        <w:t xml:space="preserve">                </w:t>
      </w:r>
      <w:r>
        <w:rPr>
          <w:rStyle w:val="StringTok"/>
        </w:rPr>
        <w:t>"1"</w:t>
      </w:r>
      <w:r>
        <w:rPr>
          <w:rStyle w:val="OtherTok"/>
        </w:rPr>
        <w:t>,</w:t>
      </w:r>
      <w:r>
        <w:br/>
      </w:r>
      <w:r>
        <w:rPr>
          <w:rStyle w:val="NormalTok"/>
        </w:rPr>
        <w:t xml:space="preserve">                </w:t>
      </w:r>
      <w:r>
        <w:rPr>
          <w:rStyle w:val="StringTok"/>
        </w:rPr>
        <w:t>"2"</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dataProductType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lastRenderedPageBreak/>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enum</w:t>
      </w:r>
      <w:proofErr w:type="spellEnd"/>
      <w:r>
        <w:rPr>
          <w:rStyle w:val="DataTypeTok"/>
        </w:rPr>
        <w:t>"</w:t>
      </w:r>
      <w:r>
        <w:rPr>
          <w:rStyle w:val="FunctionTok"/>
        </w:rPr>
        <w:t>:</w:t>
      </w:r>
      <w:r>
        <w:rPr>
          <w:rStyle w:val="NormalTok"/>
        </w:rPr>
        <w:t xml:space="preserve"> </w:t>
      </w:r>
      <w:r>
        <w:rPr>
          <w:rStyle w:val="OtherTok"/>
        </w:rPr>
        <w:t>[</w:t>
      </w:r>
      <w:r>
        <w:br/>
      </w:r>
      <w:r>
        <w:rPr>
          <w:rStyle w:val="NormalTok"/>
        </w:rPr>
        <w:t xml:space="preserve">                </w:t>
      </w:r>
      <w:r>
        <w:rPr>
          <w:rStyle w:val="StringTok"/>
        </w:rPr>
        <w:t>"OTHER"</w:t>
      </w:r>
      <w:r>
        <w:rPr>
          <w:rStyle w:val="OtherTok"/>
        </w:rPr>
        <w:t>,</w:t>
      </w:r>
      <w:r>
        <w:br/>
      </w:r>
      <w:r>
        <w:rPr>
          <w:rStyle w:val="NormalTok"/>
        </w:rPr>
        <w:t xml:space="preserve">                </w:t>
      </w:r>
      <w:r>
        <w:rPr>
          <w:rStyle w:val="StringTok"/>
        </w:rPr>
        <w:t>"S57"</w:t>
      </w:r>
      <w:r>
        <w:rPr>
          <w:rStyle w:val="OtherTok"/>
        </w:rPr>
        <w:t>,</w:t>
      </w:r>
      <w:r>
        <w:br/>
      </w:r>
      <w:r>
        <w:rPr>
          <w:rStyle w:val="NormalTok"/>
        </w:rPr>
        <w:t xml:space="preserve">                </w:t>
      </w:r>
      <w:r>
        <w:rPr>
          <w:rStyle w:val="StringTok"/>
        </w:rPr>
        <w:t>"S101"</w:t>
      </w:r>
      <w:r>
        <w:rPr>
          <w:rStyle w:val="OtherTok"/>
        </w:rPr>
        <w:t>,</w:t>
      </w:r>
      <w:r>
        <w:br/>
      </w:r>
      <w:r>
        <w:rPr>
          <w:rStyle w:val="NormalTok"/>
        </w:rPr>
        <w:t xml:space="preserve">                </w:t>
      </w:r>
      <w:r>
        <w:rPr>
          <w:rStyle w:val="StringTok"/>
        </w:rPr>
        <w:t>"S102"</w:t>
      </w:r>
      <w:r>
        <w:rPr>
          <w:rStyle w:val="OtherTok"/>
        </w:rPr>
        <w:t>,</w:t>
      </w:r>
      <w:r>
        <w:br/>
      </w:r>
      <w:r>
        <w:rPr>
          <w:rStyle w:val="NormalTok"/>
        </w:rPr>
        <w:t xml:space="preserve">                </w:t>
      </w:r>
      <w:r>
        <w:rPr>
          <w:rStyle w:val="StringTok"/>
        </w:rPr>
        <w:t>"S104"</w:t>
      </w:r>
      <w:r>
        <w:rPr>
          <w:rStyle w:val="OtherTok"/>
        </w:rPr>
        <w:t>,</w:t>
      </w:r>
      <w:r>
        <w:br/>
      </w:r>
      <w:r>
        <w:rPr>
          <w:rStyle w:val="NormalTok"/>
        </w:rPr>
        <w:t xml:space="preserve">                </w:t>
      </w:r>
      <w:r>
        <w:rPr>
          <w:rStyle w:val="StringTok"/>
        </w:rPr>
        <w:t>"S111"</w:t>
      </w:r>
      <w:r>
        <w:rPr>
          <w:rStyle w:val="OtherTok"/>
        </w:rPr>
        <w:t>,</w:t>
      </w:r>
      <w:r>
        <w:br/>
      </w:r>
      <w:r>
        <w:rPr>
          <w:rStyle w:val="NormalTok"/>
        </w:rPr>
        <w:t xml:space="preserve">                </w:t>
      </w:r>
      <w:r>
        <w:rPr>
          <w:rStyle w:val="StringTok"/>
        </w:rPr>
        <w:t>"S122"</w:t>
      </w:r>
      <w:r>
        <w:rPr>
          <w:rStyle w:val="OtherTok"/>
        </w:rPr>
        <w:t>,</w:t>
      </w:r>
      <w:r>
        <w:br/>
      </w:r>
      <w:r>
        <w:rPr>
          <w:rStyle w:val="NormalTok"/>
        </w:rPr>
        <w:t xml:space="preserve">                </w:t>
      </w:r>
      <w:r>
        <w:rPr>
          <w:rStyle w:val="StringTok"/>
        </w:rPr>
        <w:t>"S123"</w:t>
      </w:r>
      <w:r>
        <w:rPr>
          <w:rStyle w:val="OtherTok"/>
        </w:rPr>
        <w:t>,</w:t>
      </w:r>
      <w:r>
        <w:br/>
      </w:r>
      <w:r>
        <w:rPr>
          <w:rStyle w:val="NormalTok"/>
        </w:rPr>
        <w:t xml:space="preserve">                </w:t>
      </w:r>
      <w:r>
        <w:rPr>
          <w:rStyle w:val="StringTok"/>
        </w:rPr>
        <w:t>"S124"</w:t>
      </w:r>
      <w:r>
        <w:rPr>
          <w:rStyle w:val="OtherTok"/>
        </w:rPr>
        <w:t>,</w:t>
      </w:r>
      <w:r>
        <w:br/>
      </w:r>
      <w:r>
        <w:rPr>
          <w:rStyle w:val="NormalTok"/>
        </w:rPr>
        <w:t xml:space="preserve">                </w:t>
      </w:r>
      <w:r>
        <w:rPr>
          <w:rStyle w:val="StringTok"/>
        </w:rPr>
        <w:t>"S125"</w:t>
      </w:r>
      <w:r>
        <w:rPr>
          <w:rStyle w:val="OtherTok"/>
        </w:rPr>
        <w:t>,</w:t>
      </w:r>
      <w:r>
        <w:br/>
      </w:r>
      <w:r>
        <w:rPr>
          <w:rStyle w:val="NormalTok"/>
        </w:rPr>
        <w:t xml:space="preserve">                </w:t>
      </w:r>
      <w:r>
        <w:rPr>
          <w:rStyle w:val="StringTok"/>
        </w:rPr>
        <w:t>"S126"</w:t>
      </w:r>
      <w:r>
        <w:rPr>
          <w:rStyle w:val="OtherTok"/>
        </w:rPr>
        <w:t>,</w:t>
      </w:r>
      <w:r>
        <w:br/>
      </w:r>
      <w:r>
        <w:rPr>
          <w:rStyle w:val="NormalTok"/>
        </w:rPr>
        <w:t xml:space="preserve">                </w:t>
      </w:r>
      <w:r>
        <w:rPr>
          <w:rStyle w:val="StringTok"/>
        </w:rPr>
        <w:t>"S127"</w:t>
      </w:r>
      <w:r>
        <w:rPr>
          <w:rStyle w:val="OtherTok"/>
        </w:rPr>
        <w:t>,</w:t>
      </w:r>
      <w:r>
        <w:br/>
      </w:r>
      <w:r>
        <w:rPr>
          <w:rStyle w:val="NormalTok"/>
        </w:rPr>
        <w:t xml:space="preserve">                </w:t>
      </w:r>
      <w:r>
        <w:rPr>
          <w:rStyle w:val="StringTok"/>
        </w:rPr>
        <w:t>"S128"</w:t>
      </w:r>
      <w:r>
        <w:rPr>
          <w:rStyle w:val="OtherTok"/>
        </w:rPr>
        <w:t>,</w:t>
      </w:r>
      <w:r>
        <w:br/>
      </w:r>
      <w:r>
        <w:rPr>
          <w:rStyle w:val="NormalTok"/>
        </w:rPr>
        <w:t xml:space="preserve">                </w:t>
      </w:r>
      <w:r>
        <w:rPr>
          <w:rStyle w:val="StringTok"/>
        </w:rPr>
        <w:t>"S129"</w:t>
      </w:r>
      <w:r>
        <w:rPr>
          <w:rStyle w:val="OtherTok"/>
        </w:rPr>
        <w:t>,</w:t>
      </w:r>
      <w:r>
        <w:br/>
      </w:r>
      <w:r>
        <w:rPr>
          <w:rStyle w:val="NormalTok"/>
        </w:rPr>
        <w:t xml:space="preserve">                </w:t>
      </w:r>
      <w:r>
        <w:rPr>
          <w:rStyle w:val="StringTok"/>
        </w:rPr>
        <w:t>"S131"</w:t>
      </w:r>
      <w:r>
        <w:rPr>
          <w:rStyle w:val="OtherTok"/>
        </w:rPr>
        <w:t>,</w:t>
      </w:r>
      <w:r>
        <w:br/>
      </w:r>
      <w:r>
        <w:rPr>
          <w:rStyle w:val="NormalTok"/>
        </w:rPr>
        <w:t xml:space="preserve">                </w:t>
      </w:r>
      <w:r>
        <w:rPr>
          <w:rStyle w:val="StringTok"/>
        </w:rPr>
        <w:t>"S201"</w:t>
      </w:r>
      <w:r>
        <w:rPr>
          <w:rStyle w:val="OtherTok"/>
        </w:rPr>
        <w:t>,</w:t>
      </w:r>
      <w:r>
        <w:br/>
      </w:r>
      <w:r>
        <w:rPr>
          <w:rStyle w:val="NormalTok"/>
        </w:rPr>
        <w:t xml:space="preserve">                </w:t>
      </w:r>
      <w:r>
        <w:rPr>
          <w:rStyle w:val="StringTok"/>
        </w:rPr>
        <w:t>"S210"</w:t>
      </w:r>
      <w:r>
        <w:rPr>
          <w:rStyle w:val="OtherTok"/>
        </w:rPr>
        <w:t>,</w:t>
      </w:r>
      <w:r>
        <w:br/>
      </w:r>
      <w:r>
        <w:rPr>
          <w:rStyle w:val="NormalTok"/>
        </w:rPr>
        <w:t xml:space="preserve">                </w:t>
      </w:r>
      <w:r>
        <w:rPr>
          <w:rStyle w:val="StringTok"/>
        </w:rPr>
        <w:t>"S211"</w:t>
      </w:r>
      <w:r>
        <w:rPr>
          <w:rStyle w:val="OtherTok"/>
        </w:rPr>
        <w:t>,</w:t>
      </w:r>
      <w:r>
        <w:br/>
      </w:r>
      <w:r>
        <w:rPr>
          <w:rStyle w:val="NormalTok"/>
        </w:rPr>
        <w:t xml:space="preserve">                </w:t>
      </w:r>
      <w:r>
        <w:rPr>
          <w:rStyle w:val="StringTok"/>
        </w:rPr>
        <w:t>"S212"</w:t>
      </w:r>
      <w:r>
        <w:rPr>
          <w:rStyle w:val="OtherTok"/>
        </w:rPr>
        <w:t>,</w:t>
      </w:r>
      <w:r>
        <w:br/>
      </w:r>
      <w:r>
        <w:rPr>
          <w:rStyle w:val="NormalTok"/>
        </w:rPr>
        <w:t xml:space="preserve">                </w:t>
      </w:r>
      <w:r>
        <w:rPr>
          <w:rStyle w:val="StringTok"/>
        </w:rPr>
        <w:t>"S401"</w:t>
      </w:r>
      <w:r>
        <w:rPr>
          <w:rStyle w:val="OtherTok"/>
        </w:rPr>
        <w:t>,</w:t>
      </w:r>
      <w:r>
        <w:br/>
      </w:r>
      <w:r>
        <w:rPr>
          <w:rStyle w:val="NormalTok"/>
        </w:rPr>
        <w:t xml:space="preserve">                </w:t>
      </w:r>
      <w:r>
        <w:rPr>
          <w:rStyle w:val="StringTok"/>
        </w:rPr>
        <w:t>"S402"</w:t>
      </w:r>
      <w:r>
        <w:rPr>
          <w:rStyle w:val="OtherTok"/>
        </w:rPr>
        <w:t>,</w:t>
      </w:r>
      <w:r>
        <w:br/>
      </w:r>
      <w:r>
        <w:rPr>
          <w:rStyle w:val="NormalTok"/>
        </w:rPr>
        <w:t xml:space="preserve">                </w:t>
      </w:r>
      <w:r>
        <w:rPr>
          <w:rStyle w:val="StringTok"/>
        </w:rPr>
        <w:t>"S411"</w:t>
      </w:r>
      <w:r>
        <w:rPr>
          <w:rStyle w:val="OtherTok"/>
        </w:rPr>
        <w:t>,</w:t>
      </w:r>
      <w:r>
        <w:br/>
      </w:r>
      <w:r>
        <w:rPr>
          <w:rStyle w:val="NormalTok"/>
        </w:rPr>
        <w:t xml:space="preserve">         </w:t>
      </w:r>
      <w:r>
        <w:rPr>
          <w:rStyle w:val="NormalTok"/>
        </w:rPr>
        <w:t xml:space="preserve">       </w:t>
      </w:r>
      <w:r>
        <w:rPr>
          <w:rStyle w:val="StringTok"/>
        </w:rPr>
        <w:t>"S412"</w:t>
      </w:r>
      <w:r>
        <w:rPr>
          <w:rStyle w:val="OtherTok"/>
        </w:rPr>
        <w:t>,</w:t>
      </w:r>
      <w:r>
        <w:br/>
      </w:r>
      <w:r>
        <w:rPr>
          <w:rStyle w:val="NormalTok"/>
        </w:rPr>
        <w:t xml:space="preserve">                </w:t>
      </w:r>
      <w:r>
        <w:rPr>
          <w:rStyle w:val="StringTok"/>
        </w:rPr>
        <w:t>"S413"</w:t>
      </w:r>
      <w:r>
        <w:rPr>
          <w:rStyle w:val="OtherTok"/>
        </w:rPr>
        <w:t>,</w:t>
      </w:r>
      <w:r>
        <w:br/>
      </w:r>
      <w:r>
        <w:rPr>
          <w:rStyle w:val="NormalTok"/>
        </w:rPr>
        <w:t xml:space="preserve">                </w:t>
      </w:r>
      <w:r>
        <w:rPr>
          <w:rStyle w:val="StringTok"/>
        </w:rPr>
        <w:t>"S414"</w:t>
      </w:r>
      <w:r>
        <w:rPr>
          <w:rStyle w:val="OtherTok"/>
        </w:rPr>
        <w:t>,</w:t>
      </w:r>
      <w:r>
        <w:br/>
      </w:r>
      <w:r>
        <w:rPr>
          <w:rStyle w:val="NormalTok"/>
        </w:rPr>
        <w:t xml:space="preserve">                </w:t>
      </w:r>
      <w:r>
        <w:rPr>
          <w:rStyle w:val="StringTok"/>
        </w:rPr>
        <w:t>"S421"</w:t>
      </w:r>
      <w:r>
        <w:rPr>
          <w:rStyle w:val="OtherTok"/>
        </w:rPr>
        <w:t>,</w:t>
      </w:r>
      <w:r>
        <w:br/>
      </w:r>
      <w:r>
        <w:rPr>
          <w:rStyle w:val="NormalTok"/>
        </w:rPr>
        <w:t xml:space="preserve">                </w:t>
      </w:r>
      <w:r>
        <w:rPr>
          <w:rStyle w:val="StringTok"/>
        </w:rPr>
        <w:t>"RTZ"</w:t>
      </w:r>
      <w:r>
        <w:rPr>
          <w:rStyle w:val="OtherTok"/>
        </w:rPr>
        <w:t>,</w:t>
      </w:r>
      <w:r>
        <w:br/>
      </w:r>
      <w:r>
        <w:rPr>
          <w:rStyle w:val="NormalTok"/>
        </w:rPr>
        <w:t xml:space="preserve">                </w:t>
      </w:r>
      <w:r>
        <w:rPr>
          <w:rStyle w:val="StringTok"/>
        </w:rPr>
        <w:t>"EPC"</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productVersion</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"geometry"</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lastRenderedPageBreak/>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unlocode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"[A-Z]{5}"</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validFrom</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"20200101T123000"</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validTo</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"20200101T123000"</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"page"</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"minimum"</w:t>
      </w:r>
      <w:r>
        <w:rPr>
          <w:rStyle w:val="FunctionTok"/>
        </w:rPr>
        <w:t>:</w:t>
      </w:r>
      <w:r>
        <w:rPr>
          <w:rStyle w:val="NormalTok"/>
        </w:rPr>
        <w:t xml:space="preserve"> </w:t>
      </w:r>
      <w:r>
        <w:rPr>
          <w:rStyle w:val="DecValTok"/>
        </w:rPr>
        <w:t>1</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rPr>
          <w:rStyle w:val="OtherTok"/>
        </w:rPr>
        <w:t>,</w:t>
      </w:r>
      <w:r>
        <w:br/>
      </w:r>
      <w:r>
        <w:rPr>
          <w:rStyle w:val="NormalTok"/>
        </w:rPr>
        <w:t xml:space="preserve">          </w:t>
      </w:r>
      <w:r>
        <w:rPr>
          <w:rStyle w:val="FunctionTok"/>
        </w:rPr>
        <w:t>{</w:t>
      </w:r>
      <w:r>
        <w:br/>
      </w:r>
      <w:r>
        <w:rPr>
          <w:rStyle w:val="NormalTok"/>
        </w:rPr>
        <w:t xml:space="preserve">            </w:t>
      </w:r>
      <w:r>
        <w:rPr>
          <w:rStyle w:val="DataTypeTok"/>
        </w:rPr>
        <w:t>"name"</w:t>
      </w:r>
      <w:r>
        <w:rPr>
          <w:rStyle w:val="FunctionTok"/>
        </w:rPr>
        <w:t>:</w:t>
      </w:r>
      <w:r>
        <w:rPr>
          <w:rStyle w:val="NormalTok"/>
        </w:rPr>
        <w:t xml:space="preserve"> </w:t>
      </w:r>
      <w:r>
        <w:rPr>
          <w:rStyle w:val="StringTok"/>
        </w:rPr>
        <w:t>"</w:t>
      </w:r>
      <w:proofErr w:type="spellStart"/>
      <w:r>
        <w:rPr>
          <w:rStyle w:val="StringTok"/>
        </w:rPr>
        <w:t>pageSize</w:t>
      </w:r>
      <w:proofErr w:type="spellEnd"/>
      <w:r>
        <w:rPr>
          <w:rStyle w:val="StringTok"/>
        </w:rPr>
        <w:t>"</w:t>
      </w:r>
      <w:r>
        <w:rPr>
          <w:rStyle w:val="FunctionTok"/>
        </w:rPr>
        <w:t>,</w:t>
      </w:r>
      <w:r>
        <w:br/>
      </w:r>
      <w:r>
        <w:rPr>
          <w:rStyle w:val="NormalTok"/>
        </w:rPr>
        <w:t xml:space="preserve">            </w:t>
      </w:r>
      <w:r>
        <w:rPr>
          <w:rStyle w:val="DataTypeTok"/>
        </w:rPr>
        <w:t>"in"</w:t>
      </w:r>
      <w:r>
        <w:rPr>
          <w:rStyle w:val="FunctionTok"/>
        </w:rPr>
        <w:t>:</w:t>
      </w:r>
      <w:r>
        <w:rPr>
          <w:rStyle w:val="NormalTok"/>
        </w:rPr>
        <w:t xml:space="preserve"> </w:t>
      </w:r>
      <w:r>
        <w:rPr>
          <w:rStyle w:val="StringTok"/>
        </w:rPr>
        <w:t>"query"</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"minimum"</w:t>
      </w:r>
      <w:r>
        <w:rPr>
          <w:rStyle w:val="FunctionTok"/>
        </w:rPr>
        <w:t>:</w:t>
      </w:r>
      <w:r>
        <w:rPr>
          <w:rStyle w:val="NormalTok"/>
        </w:rPr>
        <w:t xml:space="preserve"> </w:t>
      </w:r>
      <w:r>
        <w:rPr>
          <w:rStyle w:val="DecValTok"/>
        </w:rPr>
        <w:t>0</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lastRenderedPageBreak/>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"responses"</w:t>
      </w:r>
      <w:r>
        <w:rPr>
          <w:rStyle w:val="FunctionTok"/>
        </w:rPr>
        <w:t>:</w:t>
      </w:r>
      <w:r>
        <w:rPr>
          <w:rStyle w:val="NormalTok"/>
        </w:rPr>
        <w:t xml:space="preserve"> </w:t>
      </w:r>
      <w:r>
        <w:rPr>
          <w:rStyle w:val="FunctionTok"/>
        </w:rPr>
        <w:t>{</w:t>
      </w:r>
      <w:r>
        <w:br/>
      </w:r>
      <w:r>
        <w:rPr>
          <w:rStyle w:val="NormalTok"/>
        </w:rPr>
        <w:t xml:space="preserve">          </w:t>
      </w:r>
      <w:r>
        <w:rPr>
          <w:rStyle w:val="DataTypeTok"/>
        </w:rPr>
        <w:t>"default"</w:t>
      </w:r>
      <w:r>
        <w:rPr>
          <w:rStyle w:val="FunctionTok"/>
        </w:rPr>
        <w:t>:</w:t>
      </w:r>
      <w:r>
        <w:rPr>
          <w:rStyle w:val="NormalTok"/>
        </w:rPr>
        <w:t xml:space="preserve"> </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"default response"</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GetSummaryResponseObject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"/v1/ping"</w:t>
      </w:r>
      <w:r>
        <w:rPr>
          <w:rStyle w:val="FunctionTok"/>
        </w:rPr>
        <w:t>:</w:t>
      </w:r>
      <w:r>
        <w:rPr>
          <w:rStyle w:val="NormalTok"/>
        </w:rPr>
        <w:t xml:space="preserve"> </w:t>
      </w:r>
      <w:r>
        <w:rPr>
          <w:rStyle w:val="FunctionTok"/>
        </w:rPr>
        <w:t>{</w:t>
      </w:r>
      <w:r>
        <w:br/>
      </w:r>
      <w:r>
        <w:rPr>
          <w:rStyle w:val="NormalTok"/>
        </w:rPr>
        <w:t xml:space="preserve">      </w:t>
      </w:r>
      <w:r>
        <w:rPr>
          <w:rStyle w:val="DataTypeTok"/>
        </w:rPr>
        <w:t>"get"</w:t>
      </w:r>
      <w:r>
        <w:rPr>
          <w:rStyle w:val="FunctionTok"/>
        </w:rPr>
        <w:t>:</w:t>
      </w:r>
      <w:r>
        <w:rPr>
          <w:rStyle w:val="NormalTok"/>
        </w:rPr>
        <w:t xml:space="preserve"> </w:t>
      </w:r>
      <w:r>
        <w:rPr>
          <w:rStyle w:val="FunctionTok"/>
        </w:rPr>
        <w:t>{</w:t>
      </w:r>
      <w:r>
        <w:br/>
      </w:r>
      <w:r>
        <w:rPr>
          <w:rStyle w:val="NormalTok"/>
        </w:rPr>
        <w:t xml:space="preserve">        </w:t>
      </w:r>
      <w:r>
        <w:rPr>
          <w:rStyle w:val="DataTypeTok"/>
        </w:rPr>
        <w:t>"tags"</w:t>
      </w:r>
      <w:r>
        <w:rPr>
          <w:rStyle w:val="FunctionTok"/>
        </w:rPr>
        <w:t>:</w:t>
      </w:r>
      <w:r>
        <w:rPr>
          <w:rStyle w:val="NormalTok"/>
        </w:rPr>
        <w:t xml:space="preserve"> </w:t>
      </w:r>
      <w:r>
        <w:rPr>
          <w:rStyle w:val="OtherTok"/>
        </w:rPr>
        <w:t>[</w:t>
      </w:r>
      <w:r>
        <w:br/>
      </w:r>
      <w:r>
        <w:rPr>
          <w:rStyle w:val="NormalTok"/>
        </w:rPr>
        <w:t xml:space="preserve">          </w:t>
      </w:r>
      <w:r>
        <w:rPr>
          <w:rStyle w:val="StringTok"/>
        </w:rPr>
        <w:t>"SECOM"</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operationId</w:t>
      </w:r>
      <w:proofErr w:type="spellEnd"/>
      <w:r>
        <w:rPr>
          <w:rStyle w:val="DataTypeTok"/>
        </w:rPr>
        <w:t>"</w:t>
      </w:r>
      <w:r>
        <w:rPr>
          <w:rStyle w:val="FunctionTok"/>
        </w:rPr>
        <w:t>:</w:t>
      </w:r>
      <w:r>
        <w:rPr>
          <w:rStyle w:val="NormalTok"/>
        </w:rPr>
        <w:t xml:space="preserve"> </w:t>
      </w:r>
      <w:r>
        <w:rPr>
          <w:rStyle w:val="StringTok"/>
        </w:rPr>
        <w:t>"ping"</w:t>
      </w:r>
      <w:r>
        <w:rPr>
          <w:rStyle w:val="FunctionTok"/>
        </w:rPr>
        <w:t>,</w:t>
      </w:r>
      <w:r>
        <w:br/>
      </w:r>
      <w:r>
        <w:rPr>
          <w:rStyle w:val="NormalTok"/>
        </w:rPr>
        <w:t xml:space="preserve">        </w:t>
      </w:r>
      <w:r>
        <w:rPr>
          <w:rStyle w:val="DataTypeTok"/>
        </w:rPr>
        <w:t>"responses"</w:t>
      </w:r>
      <w:r>
        <w:rPr>
          <w:rStyle w:val="FunctionTok"/>
        </w:rPr>
        <w:t>:</w:t>
      </w:r>
      <w:r>
        <w:rPr>
          <w:rStyle w:val="NormalTok"/>
        </w:rPr>
        <w:t xml:space="preserve"> </w:t>
      </w:r>
      <w:r>
        <w:rPr>
          <w:rStyle w:val="FunctionTok"/>
        </w:rPr>
        <w:t>{</w:t>
      </w:r>
      <w:r>
        <w:br/>
      </w:r>
      <w:r>
        <w:rPr>
          <w:rStyle w:val="NormalTok"/>
        </w:rPr>
        <w:t xml:space="preserve">          </w:t>
      </w:r>
      <w:r>
        <w:rPr>
          <w:rStyle w:val="DataTypeTok"/>
        </w:rPr>
        <w:t>"default"</w:t>
      </w:r>
      <w:r>
        <w:rPr>
          <w:rStyle w:val="FunctionTok"/>
        </w:rPr>
        <w:t>:</w:t>
      </w:r>
      <w:r>
        <w:rPr>
          <w:rStyle w:val="NormalTok"/>
        </w:rPr>
        <w:t xml:space="preserve"> </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"default response"</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PingResponseObject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"/v1/subscription"</w:t>
      </w:r>
      <w:r>
        <w:rPr>
          <w:rStyle w:val="FunctionTok"/>
        </w:rPr>
        <w:t>:</w:t>
      </w:r>
      <w:r>
        <w:rPr>
          <w:rStyle w:val="NormalTok"/>
        </w:rPr>
        <w:t xml:space="preserve"> </w:t>
      </w:r>
      <w:r>
        <w:rPr>
          <w:rStyle w:val="FunctionTok"/>
        </w:rPr>
        <w:t>{</w:t>
      </w:r>
      <w:r>
        <w:br/>
      </w:r>
      <w:r>
        <w:rPr>
          <w:rStyle w:val="NormalTok"/>
        </w:rPr>
        <w:t xml:space="preserve">      </w:t>
      </w:r>
      <w:r>
        <w:rPr>
          <w:rStyle w:val="DataTypeTok"/>
        </w:rPr>
        <w:t>"post"</w:t>
      </w:r>
      <w:r>
        <w:rPr>
          <w:rStyle w:val="FunctionTok"/>
        </w:rPr>
        <w:t>:</w:t>
      </w:r>
      <w:r>
        <w:rPr>
          <w:rStyle w:val="NormalTok"/>
        </w:rPr>
        <w:t xml:space="preserve"> </w:t>
      </w:r>
      <w:r>
        <w:rPr>
          <w:rStyle w:val="FunctionTok"/>
        </w:rPr>
        <w:t>{</w:t>
      </w:r>
      <w:r>
        <w:br/>
      </w:r>
      <w:r>
        <w:rPr>
          <w:rStyle w:val="NormalTok"/>
        </w:rPr>
        <w:t xml:space="preserve">        </w:t>
      </w:r>
      <w:r>
        <w:rPr>
          <w:rStyle w:val="DataTypeTok"/>
        </w:rPr>
        <w:t>"tags"</w:t>
      </w:r>
      <w:r>
        <w:rPr>
          <w:rStyle w:val="FunctionTok"/>
        </w:rPr>
        <w:t>:</w:t>
      </w:r>
      <w:r>
        <w:rPr>
          <w:rStyle w:val="NormalTok"/>
        </w:rPr>
        <w:t xml:space="preserve"> </w:t>
      </w:r>
      <w:r>
        <w:rPr>
          <w:rStyle w:val="OtherTok"/>
        </w:rPr>
        <w:t>[</w:t>
      </w:r>
      <w:r>
        <w:br/>
      </w:r>
      <w:r>
        <w:rPr>
          <w:rStyle w:val="NormalTok"/>
        </w:rPr>
        <w:t xml:space="preserve">          </w:t>
      </w:r>
      <w:r>
        <w:rPr>
          <w:rStyle w:val="StringTok"/>
        </w:rPr>
        <w:t>"SECOM"</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operationId</w:t>
      </w:r>
      <w:proofErr w:type="spellEnd"/>
      <w:r>
        <w:rPr>
          <w:rStyle w:val="DataTypeTok"/>
        </w:rPr>
        <w:t>"</w:t>
      </w:r>
      <w:r>
        <w:rPr>
          <w:rStyle w:val="FunctionTok"/>
        </w:rPr>
        <w:t>:</w:t>
      </w:r>
      <w:r>
        <w:rPr>
          <w:rStyle w:val="NormalTok"/>
        </w:rPr>
        <w:t xml:space="preserve"> </w:t>
      </w:r>
      <w:r>
        <w:rPr>
          <w:rStyle w:val="StringTok"/>
        </w:rPr>
        <w:t>"subscription"</w:t>
      </w:r>
      <w:r>
        <w:rPr>
          <w:rStyle w:val="FunctionTok"/>
        </w:rPr>
        <w:t>,</w:t>
      </w:r>
      <w:r>
        <w:br/>
      </w:r>
      <w:r>
        <w:rPr>
          <w:rStyle w:val="NormalTok"/>
        </w:rPr>
        <w:t xml:space="preserve">        </w:t>
      </w:r>
      <w:r>
        <w:rPr>
          <w:rStyle w:val="DataTypeTok"/>
        </w:rPr>
        <w:t>"</w:t>
      </w:r>
      <w:proofErr w:type="spellStart"/>
      <w:r>
        <w:rPr>
          <w:rStyle w:val="DataTypeTok"/>
        </w:rPr>
        <w:t>requestBody</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SubscriptionRequestObject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lastRenderedPageBreak/>
        <w:t xml:space="preserve">        </w:t>
      </w:r>
      <w:r>
        <w:rPr>
          <w:rStyle w:val="FunctionTok"/>
        </w:rPr>
        <w:t>},</w:t>
      </w:r>
      <w:r>
        <w:br/>
      </w:r>
      <w:r>
        <w:rPr>
          <w:rStyle w:val="NormalTok"/>
        </w:rPr>
        <w:t xml:space="preserve">        </w:t>
      </w:r>
      <w:r>
        <w:rPr>
          <w:rStyle w:val="DataTypeTok"/>
        </w:rPr>
        <w:t>"responses"</w:t>
      </w:r>
      <w:r>
        <w:rPr>
          <w:rStyle w:val="FunctionTok"/>
        </w:rPr>
        <w:t>:</w:t>
      </w:r>
      <w:r>
        <w:rPr>
          <w:rStyle w:val="NormalTok"/>
        </w:rPr>
        <w:t xml:space="preserve"> </w:t>
      </w:r>
      <w:r>
        <w:rPr>
          <w:rStyle w:val="FunctionTok"/>
        </w:rPr>
        <w:t>{</w:t>
      </w:r>
      <w:r>
        <w:br/>
      </w:r>
      <w:r>
        <w:rPr>
          <w:rStyle w:val="NormalTok"/>
        </w:rPr>
        <w:t xml:space="preserve">          </w:t>
      </w:r>
      <w:r>
        <w:rPr>
          <w:rStyle w:val="DataTypeTok"/>
        </w:rPr>
        <w:t>"default"</w:t>
      </w:r>
      <w:r>
        <w:rPr>
          <w:rStyle w:val="FunctionTok"/>
        </w:rPr>
        <w:t>:</w:t>
      </w:r>
      <w:r>
        <w:rPr>
          <w:rStyle w:val="NormalTok"/>
        </w:rPr>
        <w:t xml:space="preserve"> </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"default response"</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SubscriptionResponseObject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"delete"</w:t>
      </w:r>
      <w:r>
        <w:rPr>
          <w:rStyle w:val="FunctionTok"/>
        </w:rPr>
        <w:t>:</w:t>
      </w:r>
      <w:r>
        <w:rPr>
          <w:rStyle w:val="NormalTok"/>
        </w:rPr>
        <w:t xml:space="preserve"> </w:t>
      </w:r>
      <w:r>
        <w:rPr>
          <w:rStyle w:val="FunctionTok"/>
        </w:rPr>
        <w:t>{</w:t>
      </w:r>
      <w:r>
        <w:br/>
      </w:r>
      <w:r>
        <w:rPr>
          <w:rStyle w:val="NormalTok"/>
        </w:rPr>
        <w:t xml:space="preserve">        </w:t>
      </w:r>
      <w:r>
        <w:rPr>
          <w:rStyle w:val="DataTypeTok"/>
        </w:rPr>
        <w:t>"tags"</w:t>
      </w:r>
      <w:r>
        <w:rPr>
          <w:rStyle w:val="FunctionTok"/>
        </w:rPr>
        <w:t>:</w:t>
      </w:r>
      <w:r>
        <w:rPr>
          <w:rStyle w:val="NormalTok"/>
        </w:rPr>
        <w:t xml:space="preserve"> </w:t>
      </w:r>
      <w:r>
        <w:rPr>
          <w:rStyle w:val="OtherTok"/>
        </w:rPr>
        <w:t>[</w:t>
      </w:r>
      <w:r>
        <w:br/>
      </w:r>
      <w:r>
        <w:rPr>
          <w:rStyle w:val="NormalTok"/>
        </w:rPr>
        <w:t xml:space="preserve">          </w:t>
      </w:r>
      <w:r>
        <w:rPr>
          <w:rStyle w:val="StringTok"/>
        </w:rPr>
        <w:t>"SECOM"</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operationId</w:t>
      </w:r>
      <w:proofErr w:type="spellEnd"/>
      <w:r>
        <w:rPr>
          <w:rStyle w:val="DataTypeTok"/>
        </w:rPr>
        <w:t>"</w:t>
      </w:r>
      <w:r>
        <w:rPr>
          <w:rStyle w:val="FunctionTok"/>
        </w:rPr>
        <w:t>:</w:t>
      </w:r>
      <w:r>
        <w:rPr>
          <w:rStyle w:val="NormalTok"/>
        </w:rPr>
        <w:t xml:space="preserve"> </w:t>
      </w:r>
      <w:r>
        <w:rPr>
          <w:rStyle w:val="StringTok"/>
        </w:rPr>
        <w:t>"</w:t>
      </w:r>
      <w:proofErr w:type="spellStart"/>
      <w:r>
        <w:rPr>
          <w:rStyle w:val="StringTok"/>
        </w:rPr>
        <w:t>removeSubscription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requestBody</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"#/components/schemas/RemoveSubscriptionObject"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"responses"</w:t>
      </w:r>
      <w:r>
        <w:rPr>
          <w:rStyle w:val="FunctionTok"/>
        </w:rPr>
        <w:t>:</w:t>
      </w:r>
      <w:r>
        <w:rPr>
          <w:rStyle w:val="NormalTok"/>
        </w:rPr>
        <w:t xml:space="preserve"> </w:t>
      </w:r>
      <w:r>
        <w:rPr>
          <w:rStyle w:val="FunctionTok"/>
        </w:rPr>
        <w:t>{</w:t>
      </w:r>
      <w:r>
        <w:br/>
      </w:r>
      <w:r>
        <w:rPr>
          <w:rStyle w:val="NormalTok"/>
        </w:rPr>
        <w:t xml:space="preserve">          </w:t>
      </w:r>
      <w:r>
        <w:rPr>
          <w:rStyle w:val="DataTypeTok"/>
        </w:rPr>
        <w:t>"default"</w:t>
      </w:r>
      <w:r>
        <w:rPr>
          <w:rStyle w:val="FunctionTok"/>
        </w:rPr>
        <w:t>:</w:t>
      </w:r>
      <w:r>
        <w:rPr>
          <w:rStyle w:val="NormalTok"/>
        </w:rPr>
        <w:t xml:space="preserve"> </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"default response"</w:t>
      </w:r>
      <w:r>
        <w:rPr>
          <w:rStyle w:val="FunctionTok"/>
        </w:rPr>
        <w:t>,</w:t>
      </w:r>
      <w:r>
        <w:br/>
      </w:r>
      <w:r>
        <w:rPr>
          <w:rStyle w:val="NormalTok"/>
        </w:rPr>
        <w:t xml:space="preserve">            </w:t>
      </w:r>
      <w:r>
        <w:rPr>
          <w:rStyle w:val="DataTypeTok"/>
        </w:rPr>
        <w:t>"content"</w:t>
      </w:r>
      <w:r>
        <w:rPr>
          <w:rStyle w:val="FunctionTok"/>
        </w:rPr>
        <w:t>:</w:t>
      </w:r>
      <w:r>
        <w:rPr>
          <w:rStyle w:val="NormalTok"/>
        </w:rPr>
        <w:t xml:space="preserve"> </w:t>
      </w:r>
      <w:r>
        <w:rPr>
          <w:rStyle w:val="FunctionTok"/>
        </w:rPr>
        <w:t>{</w:t>
      </w:r>
      <w:r>
        <w:br/>
      </w:r>
      <w:r>
        <w:rPr>
          <w:rStyle w:val="NormalTok"/>
        </w:rPr>
        <w:t xml:space="preserve">              </w:t>
      </w:r>
      <w:r>
        <w:rPr>
          <w:rStyle w:val="DataTypeTok"/>
        </w:rPr>
        <w:t>"application/</w:t>
      </w:r>
      <w:proofErr w:type="spellStart"/>
      <w:r>
        <w:rPr>
          <w:rStyle w:val="DataTypeTok"/>
        </w:rPr>
        <w:t>json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"schema"</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RemoveSubscriptionResponseObject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"components"</w:t>
      </w:r>
      <w:r>
        <w:rPr>
          <w:rStyle w:val="FunctionTok"/>
        </w:rPr>
        <w:t>:</w:t>
      </w:r>
      <w:r>
        <w:rPr>
          <w:rStyle w:val="NormalTok"/>
        </w:rPr>
        <w:t xml:space="preserve"> </w:t>
      </w:r>
      <w:r>
        <w:rPr>
          <w:rStyle w:val="FunctionTok"/>
        </w:rPr>
        <w:t>{</w:t>
      </w:r>
      <w:r>
        <w:br/>
      </w:r>
      <w:r>
        <w:rPr>
          <w:rStyle w:val="NormalTok"/>
        </w:rPr>
        <w:t xml:space="preserve">    </w:t>
      </w:r>
      <w:r>
        <w:rPr>
          <w:rStyle w:val="DataTypeTok"/>
        </w:rPr>
        <w:t>"schemas"</w:t>
      </w:r>
      <w:r>
        <w:rPr>
          <w:rStyle w:val="FunctionTok"/>
        </w:rPr>
        <w:t>:</w:t>
      </w:r>
      <w:r>
        <w:rPr>
          <w:rStyle w:val="NormalTok"/>
        </w:rPr>
        <w:t xml:space="preserve"> </w:t>
      </w:r>
      <w:r>
        <w:rPr>
          <w:rStyle w:val="FunctionTok"/>
        </w:rPr>
        <w:t>{</w:t>
      </w:r>
      <w:r>
        <w:br/>
      </w:r>
      <w:r>
        <w:rPr>
          <w:rStyle w:val="NormalTok"/>
        </w:rPr>
        <w:t xml:space="preserve">      </w:t>
      </w:r>
      <w:r>
        <w:rPr>
          <w:rStyle w:val="DataTypeTok"/>
        </w:rPr>
        <w:t>"secom-v1"</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"object"</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jsonSchema</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FunctionTok"/>
        </w:rPr>
        <w:t>},</w:t>
      </w:r>
      <w:r>
        <w:br/>
      </w:r>
      <w:r>
        <w:rPr>
          <w:rStyle w:val="NormalTok"/>
        </w:rPr>
        <w:lastRenderedPageBreak/>
        <w:t xml:space="preserve">      </w:t>
      </w:r>
      <w:r>
        <w:rPr>
          <w:rStyle w:val="DataTypeTok"/>
        </w:rPr>
        <w:t>"AcknowledgementResponseObject"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"message"</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SECOM_ResponseCode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AcknowledgementObject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digitalSignature</w:t>
      </w:r>
      <w:proofErr w:type="spellEnd"/>
      <w:r>
        <w:rPr>
          <w:rStyle w:val="StringTok"/>
        </w:rPr>
        <w:t>"</w:t>
      </w:r>
      <w:r>
        <w:rPr>
          <w:rStyle w:val="OtherTok"/>
        </w:rPr>
        <w:t>,</w:t>
      </w:r>
      <w:r>
        <w:br/>
      </w:r>
      <w:r>
        <w:rPr>
          <w:rStyle w:val="NormalTok"/>
        </w:rPr>
        <w:t xml:space="preserve">          </w:t>
      </w:r>
      <w:r>
        <w:rPr>
          <w:rStyle w:val="StringTok"/>
        </w:rPr>
        <w:t>"envelope"</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"envelope"</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EnvelopeAckObject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digitalSignature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EnvelopeAckObject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ackType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createdAt</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envelopeCertificate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envelopeRootCertificateThumbprint</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envelopeSignatureTime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transactionIdentifier</w:t>
      </w:r>
      <w:proofErr w:type="spellEnd"/>
      <w:r>
        <w:rPr>
          <w:rStyle w:val="String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envelopeRootCertificateThumbprint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lastRenderedPageBreak/>
        <w:t xml:space="preserve">          </w:t>
      </w:r>
      <w:r>
        <w:rPr>
          <w:rStyle w:val="FunctionTok"/>
        </w:rPr>
        <w:t>},</w:t>
      </w:r>
      <w:r>
        <w:br/>
      </w:r>
      <w:r>
        <w:rPr>
          <w:rStyle w:val="NormalTok"/>
        </w:rPr>
        <w:t xml:space="preserve">          </w:t>
      </w:r>
      <w:r>
        <w:rPr>
          <w:rStyle w:val="DataTypeTok"/>
        </w:rPr>
        <w:t>"</w:t>
      </w:r>
      <w:proofErr w:type="spellStart"/>
      <w:r>
        <w:rPr>
          <w:rStyle w:val="DataTypeTok"/>
        </w:rPr>
        <w:t>envelopeSignatureTime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"The envelope signature date-time"</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"19850412T101530"</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createdAt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"The creation date-time"</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"19850412T101530"</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transactionIdentifier</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w:t>
      </w:r>
      <w:proofErr w:type="spellStart"/>
      <w:r>
        <w:rPr>
          <w:rStyle w:val="StringTok"/>
        </w:rPr>
        <w:t>uuid</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ackType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nackType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envelopeCertificate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CapabilityObject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containerType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dataProductType</w:t>
      </w:r>
      <w:proofErr w:type="spellEnd"/>
      <w:r>
        <w:rPr>
          <w:rStyle w:val="StringTok"/>
        </w:rPr>
        <w:t>"</w:t>
      </w:r>
      <w:r>
        <w:rPr>
          <w:rStyle w:val="OtherTok"/>
        </w:rPr>
        <w:t>,</w:t>
      </w:r>
      <w:r>
        <w:br/>
      </w:r>
      <w:r>
        <w:rPr>
          <w:rStyle w:val="NormalTok"/>
        </w:rPr>
        <w:lastRenderedPageBreak/>
        <w:t xml:space="preserve">          </w:t>
      </w:r>
      <w:r>
        <w:rPr>
          <w:rStyle w:val="StringTok"/>
        </w:rPr>
        <w:t>"</w:t>
      </w:r>
      <w:proofErr w:type="spellStart"/>
      <w:r>
        <w:rPr>
          <w:rStyle w:val="StringTok"/>
        </w:rPr>
        <w:t>implementedInterfaces</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productSchemaUrl</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serviceVersion</w:t>
      </w:r>
      <w:proofErr w:type="spellEnd"/>
      <w:r>
        <w:rPr>
          <w:rStyle w:val="String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containerType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dataProductType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enum</w:t>
      </w:r>
      <w:proofErr w:type="spellEnd"/>
      <w:r>
        <w:rPr>
          <w:rStyle w:val="DataTypeTok"/>
        </w:rPr>
        <w:t>"</w:t>
      </w:r>
      <w:r>
        <w:rPr>
          <w:rStyle w:val="FunctionTok"/>
        </w:rPr>
        <w:t>:</w:t>
      </w:r>
      <w:r>
        <w:rPr>
          <w:rStyle w:val="NormalTok"/>
        </w:rPr>
        <w:t xml:space="preserve"> </w:t>
      </w:r>
      <w:r>
        <w:rPr>
          <w:rStyle w:val="OtherTok"/>
        </w:rPr>
        <w:t>[</w:t>
      </w:r>
      <w:r>
        <w:br/>
      </w:r>
      <w:r>
        <w:rPr>
          <w:rStyle w:val="NormalTok"/>
        </w:rPr>
        <w:t xml:space="preserve">              </w:t>
      </w:r>
      <w:r>
        <w:rPr>
          <w:rStyle w:val="StringTok"/>
        </w:rPr>
        <w:t>"OTHER"</w:t>
      </w:r>
      <w:r>
        <w:rPr>
          <w:rStyle w:val="OtherTok"/>
        </w:rPr>
        <w:t>,</w:t>
      </w:r>
      <w:r>
        <w:br/>
      </w:r>
      <w:r>
        <w:rPr>
          <w:rStyle w:val="NormalTok"/>
        </w:rPr>
        <w:t xml:space="preserve">              </w:t>
      </w:r>
      <w:r>
        <w:rPr>
          <w:rStyle w:val="StringTok"/>
        </w:rPr>
        <w:t>"S57"</w:t>
      </w:r>
      <w:r>
        <w:rPr>
          <w:rStyle w:val="OtherTok"/>
        </w:rPr>
        <w:t>,</w:t>
      </w:r>
      <w:r>
        <w:br/>
      </w:r>
      <w:r>
        <w:rPr>
          <w:rStyle w:val="NormalTok"/>
        </w:rPr>
        <w:t xml:space="preserve">              </w:t>
      </w:r>
      <w:r>
        <w:rPr>
          <w:rStyle w:val="StringTok"/>
        </w:rPr>
        <w:t>"S101"</w:t>
      </w:r>
      <w:r>
        <w:rPr>
          <w:rStyle w:val="OtherTok"/>
        </w:rPr>
        <w:t>,</w:t>
      </w:r>
      <w:r>
        <w:br/>
      </w:r>
      <w:r>
        <w:rPr>
          <w:rStyle w:val="NormalTok"/>
        </w:rPr>
        <w:t xml:space="preserve">              </w:t>
      </w:r>
      <w:r>
        <w:rPr>
          <w:rStyle w:val="StringTok"/>
        </w:rPr>
        <w:t>"S102"</w:t>
      </w:r>
      <w:r>
        <w:rPr>
          <w:rStyle w:val="OtherTok"/>
        </w:rPr>
        <w:t>,</w:t>
      </w:r>
      <w:r>
        <w:br/>
      </w:r>
      <w:r>
        <w:rPr>
          <w:rStyle w:val="NormalTok"/>
        </w:rPr>
        <w:t xml:space="preserve">              </w:t>
      </w:r>
      <w:r>
        <w:rPr>
          <w:rStyle w:val="StringTok"/>
        </w:rPr>
        <w:t>"S104"</w:t>
      </w:r>
      <w:r>
        <w:rPr>
          <w:rStyle w:val="OtherTok"/>
        </w:rPr>
        <w:t>,</w:t>
      </w:r>
      <w:r>
        <w:br/>
      </w:r>
      <w:r>
        <w:rPr>
          <w:rStyle w:val="NormalTok"/>
        </w:rPr>
        <w:t xml:space="preserve">              </w:t>
      </w:r>
      <w:r>
        <w:rPr>
          <w:rStyle w:val="StringTok"/>
        </w:rPr>
        <w:t>"S111"</w:t>
      </w:r>
      <w:r>
        <w:rPr>
          <w:rStyle w:val="OtherTok"/>
        </w:rPr>
        <w:t>,</w:t>
      </w:r>
      <w:r>
        <w:br/>
      </w:r>
      <w:r>
        <w:rPr>
          <w:rStyle w:val="NormalTok"/>
        </w:rPr>
        <w:t xml:space="preserve">              </w:t>
      </w:r>
      <w:r>
        <w:rPr>
          <w:rStyle w:val="StringTok"/>
        </w:rPr>
        <w:t>"S122"</w:t>
      </w:r>
      <w:r>
        <w:rPr>
          <w:rStyle w:val="OtherTok"/>
        </w:rPr>
        <w:t>,</w:t>
      </w:r>
      <w:r>
        <w:br/>
      </w:r>
      <w:r>
        <w:rPr>
          <w:rStyle w:val="NormalTok"/>
        </w:rPr>
        <w:t xml:space="preserve">              </w:t>
      </w:r>
      <w:r>
        <w:rPr>
          <w:rStyle w:val="StringTok"/>
        </w:rPr>
        <w:t>"S123"</w:t>
      </w:r>
      <w:r>
        <w:rPr>
          <w:rStyle w:val="OtherTok"/>
        </w:rPr>
        <w:t>,</w:t>
      </w:r>
      <w:r>
        <w:br/>
      </w:r>
      <w:r>
        <w:rPr>
          <w:rStyle w:val="NormalTok"/>
        </w:rPr>
        <w:t xml:space="preserve">              </w:t>
      </w:r>
      <w:r>
        <w:rPr>
          <w:rStyle w:val="StringTok"/>
        </w:rPr>
        <w:t>"S124"</w:t>
      </w:r>
      <w:r>
        <w:rPr>
          <w:rStyle w:val="OtherTok"/>
        </w:rPr>
        <w:t>,</w:t>
      </w:r>
      <w:r>
        <w:br/>
      </w:r>
      <w:r>
        <w:rPr>
          <w:rStyle w:val="NormalTok"/>
        </w:rPr>
        <w:t xml:space="preserve">              </w:t>
      </w:r>
      <w:r>
        <w:rPr>
          <w:rStyle w:val="StringTok"/>
        </w:rPr>
        <w:t>"S125"</w:t>
      </w:r>
      <w:r>
        <w:rPr>
          <w:rStyle w:val="OtherTok"/>
        </w:rPr>
        <w:t>,</w:t>
      </w:r>
      <w:r>
        <w:br/>
      </w:r>
      <w:r>
        <w:rPr>
          <w:rStyle w:val="NormalTok"/>
        </w:rPr>
        <w:t xml:space="preserve">              </w:t>
      </w:r>
      <w:r>
        <w:rPr>
          <w:rStyle w:val="StringTok"/>
        </w:rPr>
        <w:t>"S126"</w:t>
      </w:r>
      <w:r>
        <w:rPr>
          <w:rStyle w:val="OtherTok"/>
        </w:rPr>
        <w:t>,</w:t>
      </w:r>
      <w:r>
        <w:br/>
      </w:r>
      <w:r>
        <w:rPr>
          <w:rStyle w:val="NormalTok"/>
        </w:rPr>
        <w:t xml:space="preserve">              </w:t>
      </w:r>
      <w:r>
        <w:rPr>
          <w:rStyle w:val="StringTok"/>
        </w:rPr>
        <w:t>"S127"</w:t>
      </w:r>
      <w:r>
        <w:rPr>
          <w:rStyle w:val="OtherTok"/>
        </w:rPr>
        <w:t>,</w:t>
      </w:r>
      <w:r>
        <w:br/>
      </w:r>
      <w:r>
        <w:rPr>
          <w:rStyle w:val="NormalTok"/>
        </w:rPr>
        <w:t xml:space="preserve">              </w:t>
      </w:r>
      <w:r>
        <w:rPr>
          <w:rStyle w:val="StringTok"/>
        </w:rPr>
        <w:t>"S128"</w:t>
      </w:r>
      <w:r>
        <w:rPr>
          <w:rStyle w:val="OtherTok"/>
        </w:rPr>
        <w:t>,</w:t>
      </w:r>
      <w:r>
        <w:br/>
      </w:r>
      <w:r>
        <w:rPr>
          <w:rStyle w:val="NormalTok"/>
        </w:rPr>
        <w:t xml:space="preserve">              </w:t>
      </w:r>
      <w:r>
        <w:rPr>
          <w:rStyle w:val="StringTok"/>
        </w:rPr>
        <w:t>"S129"</w:t>
      </w:r>
      <w:r>
        <w:rPr>
          <w:rStyle w:val="OtherTok"/>
        </w:rPr>
        <w:t>,</w:t>
      </w:r>
      <w:r>
        <w:br/>
      </w:r>
      <w:r>
        <w:rPr>
          <w:rStyle w:val="NormalTok"/>
        </w:rPr>
        <w:t xml:space="preserve">              </w:t>
      </w:r>
      <w:r>
        <w:rPr>
          <w:rStyle w:val="StringTok"/>
        </w:rPr>
        <w:t>"S131"</w:t>
      </w:r>
      <w:r>
        <w:rPr>
          <w:rStyle w:val="OtherTok"/>
        </w:rPr>
        <w:t>,</w:t>
      </w:r>
      <w:r>
        <w:br/>
      </w:r>
      <w:r>
        <w:rPr>
          <w:rStyle w:val="NormalTok"/>
        </w:rPr>
        <w:t xml:space="preserve">              </w:t>
      </w:r>
      <w:r>
        <w:rPr>
          <w:rStyle w:val="StringTok"/>
        </w:rPr>
        <w:t>"S201"</w:t>
      </w:r>
      <w:r>
        <w:rPr>
          <w:rStyle w:val="OtherTok"/>
        </w:rPr>
        <w:t>,</w:t>
      </w:r>
      <w:r>
        <w:br/>
      </w:r>
      <w:r>
        <w:rPr>
          <w:rStyle w:val="NormalTok"/>
        </w:rPr>
        <w:t xml:space="preserve">              </w:t>
      </w:r>
      <w:r>
        <w:rPr>
          <w:rStyle w:val="StringTok"/>
        </w:rPr>
        <w:t>"S210"</w:t>
      </w:r>
      <w:r>
        <w:rPr>
          <w:rStyle w:val="OtherTok"/>
        </w:rPr>
        <w:t>,</w:t>
      </w:r>
      <w:r>
        <w:br/>
      </w:r>
      <w:r>
        <w:rPr>
          <w:rStyle w:val="NormalTok"/>
        </w:rPr>
        <w:t xml:space="preserve">              </w:t>
      </w:r>
      <w:r>
        <w:rPr>
          <w:rStyle w:val="StringTok"/>
        </w:rPr>
        <w:t>"S211"</w:t>
      </w:r>
      <w:r>
        <w:rPr>
          <w:rStyle w:val="OtherTok"/>
        </w:rPr>
        <w:t>,</w:t>
      </w:r>
      <w:r>
        <w:br/>
      </w:r>
      <w:r>
        <w:rPr>
          <w:rStyle w:val="NormalTok"/>
        </w:rPr>
        <w:t xml:space="preserve">              </w:t>
      </w:r>
      <w:r>
        <w:rPr>
          <w:rStyle w:val="StringTok"/>
        </w:rPr>
        <w:t>"S212"</w:t>
      </w:r>
      <w:r>
        <w:rPr>
          <w:rStyle w:val="OtherTok"/>
        </w:rPr>
        <w:t>,</w:t>
      </w:r>
      <w:r>
        <w:br/>
      </w:r>
      <w:r>
        <w:rPr>
          <w:rStyle w:val="NormalTok"/>
        </w:rPr>
        <w:t xml:space="preserve">              </w:t>
      </w:r>
      <w:r>
        <w:rPr>
          <w:rStyle w:val="StringTok"/>
        </w:rPr>
        <w:t>"S401"</w:t>
      </w:r>
      <w:r>
        <w:rPr>
          <w:rStyle w:val="OtherTok"/>
        </w:rPr>
        <w:t>,</w:t>
      </w:r>
      <w:r>
        <w:br/>
      </w:r>
      <w:r>
        <w:rPr>
          <w:rStyle w:val="NormalTok"/>
        </w:rPr>
        <w:t xml:space="preserve">              </w:t>
      </w:r>
      <w:r>
        <w:rPr>
          <w:rStyle w:val="StringTok"/>
        </w:rPr>
        <w:t>"S402"</w:t>
      </w:r>
      <w:r>
        <w:rPr>
          <w:rStyle w:val="OtherTok"/>
        </w:rPr>
        <w:t>,</w:t>
      </w:r>
      <w:r>
        <w:br/>
      </w:r>
      <w:r>
        <w:rPr>
          <w:rStyle w:val="NormalTok"/>
        </w:rPr>
        <w:t xml:space="preserve">              </w:t>
      </w:r>
      <w:r>
        <w:rPr>
          <w:rStyle w:val="StringTok"/>
        </w:rPr>
        <w:t>"S411"</w:t>
      </w:r>
      <w:r>
        <w:rPr>
          <w:rStyle w:val="OtherTok"/>
        </w:rPr>
        <w:t>,</w:t>
      </w:r>
      <w:r>
        <w:br/>
      </w:r>
      <w:r>
        <w:rPr>
          <w:rStyle w:val="NormalTok"/>
        </w:rPr>
        <w:t xml:space="preserve">              </w:t>
      </w:r>
      <w:r>
        <w:rPr>
          <w:rStyle w:val="StringTok"/>
        </w:rPr>
        <w:t>"S412"</w:t>
      </w:r>
      <w:r>
        <w:rPr>
          <w:rStyle w:val="OtherTok"/>
        </w:rPr>
        <w:t>,</w:t>
      </w:r>
      <w:r>
        <w:br/>
      </w:r>
      <w:r>
        <w:rPr>
          <w:rStyle w:val="NormalTok"/>
        </w:rPr>
        <w:t xml:space="preserve">              </w:t>
      </w:r>
      <w:r>
        <w:rPr>
          <w:rStyle w:val="StringTok"/>
        </w:rPr>
        <w:t>"S413"</w:t>
      </w:r>
      <w:r>
        <w:rPr>
          <w:rStyle w:val="OtherTok"/>
        </w:rPr>
        <w:t>,</w:t>
      </w:r>
      <w:r>
        <w:br/>
      </w:r>
      <w:r>
        <w:rPr>
          <w:rStyle w:val="NormalTok"/>
        </w:rPr>
        <w:t xml:space="preserve">              </w:t>
      </w:r>
      <w:r>
        <w:rPr>
          <w:rStyle w:val="StringTok"/>
        </w:rPr>
        <w:t>"S414"</w:t>
      </w:r>
      <w:r>
        <w:rPr>
          <w:rStyle w:val="OtherTok"/>
        </w:rPr>
        <w:t>,</w:t>
      </w:r>
      <w:r>
        <w:br/>
      </w:r>
      <w:r>
        <w:rPr>
          <w:rStyle w:val="NormalTok"/>
        </w:rPr>
        <w:t xml:space="preserve">              </w:t>
      </w:r>
      <w:r>
        <w:rPr>
          <w:rStyle w:val="StringTok"/>
        </w:rPr>
        <w:t>"S421"</w:t>
      </w:r>
      <w:r>
        <w:rPr>
          <w:rStyle w:val="OtherTok"/>
        </w:rPr>
        <w:t>,</w:t>
      </w:r>
      <w:r>
        <w:br/>
      </w:r>
      <w:r>
        <w:rPr>
          <w:rStyle w:val="NormalTok"/>
        </w:rPr>
        <w:t xml:space="preserve">              </w:t>
      </w:r>
      <w:r>
        <w:rPr>
          <w:rStyle w:val="StringTok"/>
        </w:rPr>
        <w:t>"RTZ"</w:t>
      </w:r>
      <w:r>
        <w:rPr>
          <w:rStyle w:val="OtherTok"/>
        </w:rPr>
        <w:t>,</w:t>
      </w:r>
      <w:r>
        <w:br/>
      </w:r>
      <w:r>
        <w:rPr>
          <w:rStyle w:val="NormalTok"/>
        </w:rPr>
        <w:t xml:space="preserve">              </w:t>
      </w:r>
      <w:r>
        <w:rPr>
          <w:rStyle w:val="StringTok"/>
        </w:rPr>
        <w:t>"EPC"</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productSchemaUrl</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w:t>
      </w:r>
      <w:proofErr w:type="spellStart"/>
      <w:r>
        <w:rPr>
          <w:rStyle w:val="StringTok"/>
        </w:rPr>
        <w:t>url</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lastRenderedPageBreak/>
        <w:t xml:space="preserve">          </w:t>
      </w:r>
      <w:r>
        <w:rPr>
          <w:rStyle w:val="DataTypeTok"/>
        </w:rPr>
        <w:t>"</w:t>
      </w:r>
      <w:proofErr w:type="spellStart"/>
      <w:r>
        <w:rPr>
          <w:rStyle w:val="DataTypeTok"/>
        </w:rPr>
        <w:t>implementedInterfaces</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ImplementedInterfaces</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serviceVersion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CapabilityResponseObject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"capability"</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"array"</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"items"</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CapabilityObject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"array"</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ImplementedInterfaces</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"access"</w:t>
      </w:r>
      <w:r>
        <w:rPr>
          <w:rStyle w:val="OtherTok"/>
        </w:rPr>
        <w:t>,</w:t>
      </w:r>
      <w:r>
        <w:br/>
      </w:r>
      <w:r>
        <w:rPr>
          <w:rStyle w:val="NormalTok"/>
        </w:rPr>
        <w:t xml:space="preserve">          </w:t>
      </w:r>
      <w:r>
        <w:rPr>
          <w:rStyle w:val="StringTok"/>
        </w:rPr>
        <w:t>"</w:t>
      </w:r>
      <w:proofErr w:type="spellStart"/>
      <w:r>
        <w:rPr>
          <w:rStyle w:val="StringTok"/>
        </w:rPr>
        <w:t>encryptionKey</w:t>
      </w:r>
      <w:proofErr w:type="spellEnd"/>
      <w:r>
        <w:rPr>
          <w:rStyle w:val="StringTok"/>
        </w:rPr>
        <w:t>"</w:t>
      </w:r>
      <w:r>
        <w:rPr>
          <w:rStyle w:val="OtherTok"/>
        </w:rPr>
        <w:t>,</w:t>
      </w:r>
      <w:r>
        <w:br/>
      </w:r>
      <w:r>
        <w:rPr>
          <w:rStyle w:val="NormalTok"/>
        </w:rPr>
        <w:t xml:space="preserve">          </w:t>
      </w:r>
      <w:r>
        <w:rPr>
          <w:rStyle w:val="StringTok"/>
        </w:rPr>
        <w:t>"get"</w:t>
      </w:r>
      <w:r>
        <w:rPr>
          <w:rStyle w:val="OtherTok"/>
        </w:rPr>
        <w:t>,</w:t>
      </w:r>
      <w:r>
        <w:br/>
      </w:r>
      <w:r>
        <w:rPr>
          <w:rStyle w:val="NormalTok"/>
        </w:rPr>
        <w:t xml:space="preserve">          </w:t>
      </w:r>
      <w:r>
        <w:rPr>
          <w:rStyle w:val="StringTok"/>
        </w:rPr>
        <w:t>"</w:t>
      </w:r>
      <w:proofErr w:type="spellStart"/>
      <w:r>
        <w:rPr>
          <w:rStyle w:val="StringTok"/>
        </w:rPr>
        <w:t>getByLink</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getSummary</w:t>
      </w:r>
      <w:proofErr w:type="spellEnd"/>
      <w:r>
        <w:rPr>
          <w:rStyle w:val="StringTok"/>
        </w:rPr>
        <w:t>"</w:t>
      </w:r>
      <w:r>
        <w:rPr>
          <w:rStyle w:val="OtherTok"/>
        </w:rPr>
        <w:t>,</w:t>
      </w:r>
      <w:r>
        <w:br/>
      </w:r>
      <w:r>
        <w:rPr>
          <w:rStyle w:val="NormalTok"/>
        </w:rPr>
        <w:t xml:space="preserve">          </w:t>
      </w:r>
      <w:r>
        <w:rPr>
          <w:rStyle w:val="StringTok"/>
        </w:rPr>
        <w:t>"subscription"</w:t>
      </w:r>
      <w:r>
        <w:rPr>
          <w:rStyle w:val="OtherTok"/>
        </w:rPr>
        <w:t>,</w:t>
      </w:r>
      <w:r>
        <w:br/>
      </w:r>
      <w:r>
        <w:rPr>
          <w:rStyle w:val="NormalTok"/>
        </w:rPr>
        <w:t xml:space="preserve">          </w:t>
      </w:r>
      <w:r>
        <w:rPr>
          <w:rStyle w:val="StringTok"/>
        </w:rPr>
        <w:t>"upload"</w:t>
      </w:r>
      <w:r>
        <w:rPr>
          <w:rStyle w:val="OtherTok"/>
        </w:rPr>
        <w:t>,</w:t>
      </w:r>
      <w:r>
        <w:br/>
      </w:r>
      <w:r>
        <w:rPr>
          <w:rStyle w:val="NormalTok"/>
        </w:rPr>
        <w:t xml:space="preserve">          </w:t>
      </w:r>
      <w:r>
        <w:rPr>
          <w:rStyle w:val="StringTok"/>
        </w:rPr>
        <w:t>"</w:t>
      </w:r>
      <w:proofErr w:type="spellStart"/>
      <w:r>
        <w:rPr>
          <w:rStyle w:val="StringTok"/>
        </w:rPr>
        <w:t>uploadLink</w:t>
      </w:r>
      <w:proofErr w:type="spellEnd"/>
      <w:r>
        <w:rPr>
          <w:rStyle w:val="String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"upload"</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uploadLink</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"get"</w:t>
      </w:r>
      <w:r>
        <w:rPr>
          <w:rStyle w:val="FunctionTok"/>
        </w:rPr>
        <w:t>:</w:t>
      </w:r>
      <w:r>
        <w:rPr>
          <w:rStyle w:val="NormalTok"/>
        </w:rPr>
        <w:t xml:space="preserve"> </w:t>
      </w:r>
      <w:r>
        <w:rPr>
          <w:rStyle w:val="FunctionTok"/>
        </w:rPr>
        <w:t>{</w:t>
      </w:r>
      <w:r>
        <w:br/>
      </w:r>
      <w:r>
        <w:rPr>
          <w:rStyle w:val="NormalTok"/>
        </w:rPr>
        <w:lastRenderedPageBreak/>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getSummary</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getByLink</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"subscription"</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"access"</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encryptionKey</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DataResponseObject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ackRequest</w:t>
      </w:r>
      <w:proofErr w:type="spellEnd"/>
      <w:r>
        <w:rPr>
          <w:rStyle w:val="StringTok"/>
        </w:rPr>
        <w:t>"</w:t>
      </w:r>
      <w:r>
        <w:rPr>
          <w:rStyle w:val="OtherTok"/>
        </w:rPr>
        <w:t>,</w:t>
      </w:r>
      <w:r>
        <w:br/>
      </w:r>
      <w:r>
        <w:rPr>
          <w:rStyle w:val="NormalTok"/>
        </w:rPr>
        <w:t xml:space="preserve">          </w:t>
      </w:r>
      <w:r>
        <w:rPr>
          <w:rStyle w:val="StringTok"/>
        </w:rPr>
        <w:t>"data"</w:t>
      </w:r>
      <w:r>
        <w:rPr>
          <w:rStyle w:val="OtherTok"/>
        </w:rPr>
        <w:t>,</w:t>
      </w:r>
      <w:r>
        <w:br/>
      </w:r>
      <w:r>
        <w:rPr>
          <w:rStyle w:val="NormalTok"/>
        </w:rPr>
        <w:t xml:space="preserve">          </w:t>
      </w:r>
      <w:r>
        <w:rPr>
          <w:rStyle w:val="StringTok"/>
        </w:rPr>
        <w:t>"</w:t>
      </w:r>
      <w:proofErr w:type="spellStart"/>
      <w:r>
        <w:rPr>
          <w:rStyle w:val="StringTok"/>
        </w:rPr>
        <w:t>exchangeMetadata</w:t>
      </w:r>
      <w:proofErr w:type="spellEnd"/>
      <w:r>
        <w:rPr>
          <w:rStyle w:val="String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"data"</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"byte"</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lastRenderedPageBreak/>
        <w:t xml:space="preserve">          </w:t>
      </w:r>
      <w:r>
        <w:rPr>
          <w:rStyle w:val="FunctionTok"/>
        </w:rPr>
        <w:t>},</w:t>
      </w:r>
      <w:r>
        <w:br/>
      </w:r>
      <w:r>
        <w:rPr>
          <w:rStyle w:val="NormalTok"/>
        </w:rPr>
        <w:t xml:space="preserve">          </w:t>
      </w:r>
      <w:r>
        <w:rPr>
          <w:rStyle w:val="DataTypeTok"/>
        </w:rPr>
        <w:t>"</w:t>
      </w:r>
      <w:proofErr w:type="spellStart"/>
      <w:r>
        <w:rPr>
          <w:rStyle w:val="DataTypeTok"/>
        </w:rPr>
        <w:t>exchangeMetadata</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SECOM_ExchangeMetadataObject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ackRequest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DigitalSignatureValue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digitalSignature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publicCertificate</w:t>
      </w:r>
      <w:proofErr w:type="spellEnd"/>
      <w:r>
        <w:rPr>
          <w:rStyle w:val="String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publicRootCertificateThumbprint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publicCertificate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digitalSignature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GetResponseObject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"pagination"</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dataResponseObject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"array"</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"items"</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DataResponseObject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lastRenderedPageBreak/>
        <w:t xml:space="preserve">            </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"array"</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"pagination"</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PaginationObject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responseText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PaginationObject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maxItemsPerPage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totalItems</w:t>
      </w:r>
      <w:proofErr w:type="spellEnd"/>
      <w:r>
        <w:rPr>
          <w:rStyle w:val="String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totalItems</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maxItemsPerPage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SECOM_ExchangeMetadataObject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compressionFlag</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dataProtection</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digitalSignatureReference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digitalSignatureValue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protectionScheme</w:t>
      </w:r>
      <w:proofErr w:type="spellEnd"/>
      <w:r>
        <w:rPr>
          <w:rStyle w:val="String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dataProtection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lastRenderedPageBreak/>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protectionScheme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digitalSignatureReference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enum</w:t>
      </w:r>
      <w:proofErr w:type="spellEnd"/>
      <w:r>
        <w:rPr>
          <w:rStyle w:val="DataTypeTok"/>
        </w:rPr>
        <w:t>"</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dsa</w:t>
      </w:r>
      <w:proofErr w:type="spellEnd"/>
      <w:r>
        <w:rPr>
          <w:rStyle w:val="StringTok"/>
        </w:rPr>
        <w:t>"</w:t>
      </w:r>
      <w:r>
        <w:rPr>
          <w:rStyle w:val="OtherTok"/>
        </w:rPr>
        <w:t>,</w:t>
      </w:r>
      <w:r>
        <w:br/>
      </w:r>
      <w:r>
        <w:rPr>
          <w:rStyle w:val="NormalTok"/>
        </w:rPr>
        <w:t xml:space="preserve">              </w:t>
      </w:r>
      <w:r>
        <w:rPr>
          <w:rStyle w:val="StringTok"/>
        </w:rPr>
        <w:t>"ecdsa-256-sha2-256"</w:t>
      </w:r>
      <w:r>
        <w:rPr>
          <w:rStyle w:val="OtherTok"/>
        </w:rPr>
        <w:t>,</w:t>
      </w:r>
      <w:r>
        <w:br/>
      </w:r>
      <w:r>
        <w:rPr>
          <w:rStyle w:val="NormalTok"/>
        </w:rPr>
        <w:t xml:space="preserve">              </w:t>
      </w:r>
      <w:r>
        <w:rPr>
          <w:rStyle w:val="StringTok"/>
        </w:rPr>
        <w:t>"ecdsa-256-sha3-256"</w:t>
      </w:r>
      <w:r>
        <w:rPr>
          <w:rStyle w:val="OtherTok"/>
        </w:rPr>
        <w:t>,</w:t>
      </w:r>
      <w:r>
        <w:br/>
      </w:r>
      <w:r>
        <w:rPr>
          <w:rStyle w:val="NormalTok"/>
        </w:rPr>
        <w:t xml:space="preserve">              </w:t>
      </w:r>
      <w:r>
        <w:rPr>
          <w:rStyle w:val="StringTok"/>
        </w:rPr>
        <w:t>"ecdsa-384-sha2"</w:t>
      </w:r>
      <w:r>
        <w:rPr>
          <w:rStyle w:val="OtherTok"/>
        </w:rPr>
        <w:t>,</w:t>
      </w:r>
      <w:r>
        <w:br/>
      </w:r>
      <w:r>
        <w:rPr>
          <w:rStyle w:val="NormalTok"/>
        </w:rPr>
        <w:t xml:space="preserve">              </w:t>
      </w:r>
      <w:r>
        <w:rPr>
          <w:rStyle w:val="StringTok"/>
        </w:rPr>
        <w:t>"ecdsa-384-sha3"</w:t>
      </w:r>
      <w:r>
        <w:rPr>
          <w:rStyle w:val="OtherTok"/>
        </w:rPr>
        <w:t>,</w:t>
      </w:r>
      <w:r>
        <w:br/>
      </w:r>
      <w:r>
        <w:rPr>
          <w:rStyle w:val="NormalTok"/>
        </w:rPr>
        <w:t xml:space="preserve">              </w:t>
      </w:r>
      <w:r>
        <w:rPr>
          <w:rStyle w:val="StringTok"/>
        </w:rPr>
        <w:t>"</w:t>
      </w:r>
      <w:proofErr w:type="spellStart"/>
      <w:r>
        <w:rPr>
          <w:rStyle w:val="StringTok"/>
        </w:rPr>
        <w:t>cvc_ecdsa</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digitalSignatureValue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DigitalSignatureValue</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compressionFlag</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GetSummaryResponseObject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"pagination"</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summaryObject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"array"</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"items"</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SummaryObject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"array"</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"pagination"</w:t>
      </w:r>
      <w:r>
        <w:rPr>
          <w:rStyle w:val="FunctionTok"/>
        </w:rPr>
        <w:t>:</w:t>
      </w:r>
      <w:r>
        <w:rPr>
          <w:rStyle w:val="NormalTok"/>
        </w:rPr>
        <w:t xml:space="preserve"> </w:t>
      </w:r>
      <w:r>
        <w:rPr>
          <w:rStyle w:val="FunctionTok"/>
        </w:rPr>
        <w:t>{</w:t>
      </w:r>
      <w:r>
        <w:br/>
      </w:r>
      <w:r>
        <w:rPr>
          <w:rStyle w:val="NormalTok"/>
        </w:rPr>
        <w:t xml:space="preserve">            </w:t>
      </w:r>
      <w:r>
        <w:rPr>
          <w:rStyle w:val="DataTypeTok"/>
        </w:rPr>
        <w:t>"$ref"</w:t>
      </w:r>
      <w:r>
        <w:rPr>
          <w:rStyle w:val="FunctionTok"/>
        </w:rPr>
        <w:t>:</w:t>
      </w:r>
      <w:r>
        <w:rPr>
          <w:rStyle w:val="NormalTok"/>
        </w:rPr>
        <w:t xml:space="preserve"> </w:t>
      </w:r>
      <w:r>
        <w:rPr>
          <w:rStyle w:val="StringTok"/>
        </w:rPr>
        <w:t>"#/components/schemas/</w:t>
      </w:r>
      <w:proofErr w:type="spellStart"/>
      <w:r>
        <w:rPr>
          <w:rStyle w:val="StringTok"/>
        </w:rPr>
        <w:t>PaginationObject</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lastRenderedPageBreak/>
        <w:t xml:space="preserve">          </w:t>
      </w:r>
      <w:r>
        <w:rPr>
          <w:rStyle w:val="FunctionTok"/>
        </w:rPr>
        <w:t>},</w:t>
      </w:r>
      <w:r>
        <w:br/>
      </w:r>
      <w:r>
        <w:rPr>
          <w:rStyle w:val="NormalTok"/>
        </w:rPr>
        <w:t xml:space="preserve">          </w:t>
      </w:r>
      <w:r>
        <w:rPr>
          <w:rStyle w:val="DataTypeTok"/>
        </w:rPr>
        <w:t>"</w:t>
      </w:r>
      <w:proofErr w:type="spellStart"/>
      <w:r>
        <w:rPr>
          <w:rStyle w:val="DataTypeTok"/>
        </w:rPr>
        <w:t>responseText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SummaryObject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containerType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dataCompression</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dataProductType</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dataProtection</w:t>
      </w:r>
      <w:proofErr w:type="spellEnd"/>
      <w:r>
        <w:rPr>
          <w:rStyle w:val="StringTok"/>
        </w:rPr>
        <w:t>"</w:t>
      </w:r>
      <w:r>
        <w:rPr>
          <w:rStyle w:val="OtherTok"/>
        </w:rPr>
        <w:t>,</w:t>
      </w:r>
      <w:r>
        <w:br/>
      </w:r>
      <w:r>
        <w:rPr>
          <w:rStyle w:val="NormalTok"/>
        </w:rPr>
        <w:t xml:space="preserve">          </w:t>
      </w:r>
      <w:r>
        <w:rPr>
          <w:rStyle w:val="StringTok"/>
        </w:rPr>
        <w:t>"</w:t>
      </w:r>
      <w:proofErr w:type="spellStart"/>
      <w:r>
        <w:rPr>
          <w:rStyle w:val="StringTok"/>
        </w:rPr>
        <w:t>dataReference</w:t>
      </w:r>
      <w:proofErr w:type="spellEnd"/>
      <w:r>
        <w:rPr>
          <w:rStyle w:val="StringTok"/>
        </w:rPr>
        <w:t>"</w:t>
      </w:r>
      <w:r>
        <w:br/>
      </w:r>
      <w:r>
        <w:rPr>
          <w:rStyle w:val="NormalTok"/>
        </w:rPr>
        <w:t xml:space="preserve">        </w:t>
      </w:r>
      <w:r>
        <w:rPr>
          <w:rStyle w:val="OtherTok"/>
        </w:rPr>
        <w:t>]</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dataReference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w:t>
      </w:r>
      <w:proofErr w:type="spellStart"/>
      <w:r>
        <w:rPr>
          <w:rStyle w:val="StringTok"/>
        </w:rPr>
        <w:t>uuid</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dataProtection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dataCompression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w:t>
      </w:r>
      <w:proofErr w:type="spellStart"/>
      <w:r>
        <w:rPr>
          <w:rStyle w:val="StringTok"/>
        </w:rPr>
        <w:t>boolean</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boolean</w:t>
      </w:r>
      <w:proofErr w:type="spellEnd"/>
      <w:r>
        <w:rPr>
          <w:rStyle w:val="StringTok"/>
        </w:rPr>
        <w:t>"</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containerType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dataProductType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enum</w:t>
      </w:r>
      <w:proofErr w:type="spellEnd"/>
      <w:r>
        <w:rPr>
          <w:rStyle w:val="DataTypeTok"/>
        </w:rPr>
        <w:t>"</w:t>
      </w:r>
      <w:r>
        <w:rPr>
          <w:rStyle w:val="FunctionTok"/>
        </w:rPr>
        <w:t>:</w:t>
      </w:r>
      <w:r>
        <w:rPr>
          <w:rStyle w:val="NormalTok"/>
        </w:rPr>
        <w:t xml:space="preserve"> </w:t>
      </w:r>
      <w:r>
        <w:rPr>
          <w:rStyle w:val="OtherTok"/>
        </w:rPr>
        <w:t>[</w:t>
      </w:r>
      <w:r>
        <w:br/>
      </w:r>
      <w:r>
        <w:rPr>
          <w:rStyle w:val="NormalTok"/>
        </w:rPr>
        <w:t xml:space="preserve">              </w:t>
      </w:r>
      <w:r>
        <w:rPr>
          <w:rStyle w:val="StringTok"/>
        </w:rPr>
        <w:t>"OTHER"</w:t>
      </w:r>
      <w:r>
        <w:rPr>
          <w:rStyle w:val="OtherTok"/>
        </w:rPr>
        <w:t>,</w:t>
      </w:r>
      <w:r>
        <w:br/>
      </w:r>
      <w:r>
        <w:rPr>
          <w:rStyle w:val="NormalTok"/>
        </w:rPr>
        <w:lastRenderedPageBreak/>
        <w:t xml:space="preserve">              </w:t>
      </w:r>
      <w:r>
        <w:rPr>
          <w:rStyle w:val="StringTok"/>
        </w:rPr>
        <w:t>"S57"</w:t>
      </w:r>
      <w:r>
        <w:rPr>
          <w:rStyle w:val="OtherTok"/>
        </w:rPr>
        <w:t>,</w:t>
      </w:r>
      <w:r>
        <w:br/>
      </w:r>
      <w:r>
        <w:rPr>
          <w:rStyle w:val="NormalTok"/>
        </w:rPr>
        <w:t xml:space="preserve">              </w:t>
      </w:r>
      <w:r>
        <w:rPr>
          <w:rStyle w:val="StringTok"/>
        </w:rPr>
        <w:t>"S101"</w:t>
      </w:r>
      <w:r>
        <w:rPr>
          <w:rStyle w:val="OtherTok"/>
        </w:rPr>
        <w:t>,</w:t>
      </w:r>
      <w:r>
        <w:br/>
      </w:r>
      <w:r>
        <w:rPr>
          <w:rStyle w:val="NormalTok"/>
        </w:rPr>
        <w:t xml:space="preserve">              </w:t>
      </w:r>
      <w:r>
        <w:rPr>
          <w:rStyle w:val="StringTok"/>
        </w:rPr>
        <w:t>"S102"</w:t>
      </w:r>
      <w:r>
        <w:rPr>
          <w:rStyle w:val="OtherTok"/>
        </w:rPr>
        <w:t>,</w:t>
      </w:r>
      <w:r>
        <w:br/>
      </w:r>
      <w:r>
        <w:rPr>
          <w:rStyle w:val="NormalTok"/>
        </w:rPr>
        <w:t xml:space="preserve">              </w:t>
      </w:r>
      <w:r>
        <w:rPr>
          <w:rStyle w:val="StringTok"/>
        </w:rPr>
        <w:t>"S104"</w:t>
      </w:r>
      <w:r>
        <w:rPr>
          <w:rStyle w:val="OtherTok"/>
        </w:rPr>
        <w:t>,</w:t>
      </w:r>
      <w:r>
        <w:br/>
      </w:r>
      <w:r>
        <w:rPr>
          <w:rStyle w:val="NormalTok"/>
        </w:rPr>
        <w:t xml:space="preserve">              </w:t>
      </w:r>
      <w:r>
        <w:rPr>
          <w:rStyle w:val="StringTok"/>
        </w:rPr>
        <w:t>"S111"</w:t>
      </w:r>
      <w:r>
        <w:rPr>
          <w:rStyle w:val="OtherTok"/>
        </w:rPr>
        <w:t>,</w:t>
      </w:r>
      <w:r>
        <w:br/>
      </w:r>
      <w:r>
        <w:rPr>
          <w:rStyle w:val="NormalTok"/>
        </w:rPr>
        <w:t xml:space="preserve">              </w:t>
      </w:r>
      <w:r>
        <w:rPr>
          <w:rStyle w:val="StringTok"/>
        </w:rPr>
        <w:t>"S122"</w:t>
      </w:r>
      <w:r>
        <w:rPr>
          <w:rStyle w:val="OtherTok"/>
        </w:rPr>
        <w:t>,</w:t>
      </w:r>
      <w:r>
        <w:br/>
      </w:r>
      <w:r>
        <w:rPr>
          <w:rStyle w:val="NormalTok"/>
        </w:rPr>
        <w:t xml:space="preserve">              </w:t>
      </w:r>
      <w:r>
        <w:rPr>
          <w:rStyle w:val="StringTok"/>
        </w:rPr>
        <w:t>"S123"</w:t>
      </w:r>
      <w:r>
        <w:rPr>
          <w:rStyle w:val="OtherTok"/>
        </w:rPr>
        <w:t>,</w:t>
      </w:r>
      <w:r>
        <w:br/>
      </w:r>
      <w:r>
        <w:rPr>
          <w:rStyle w:val="NormalTok"/>
        </w:rPr>
        <w:t xml:space="preserve">              </w:t>
      </w:r>
      <w:r>
        <w:rPr>
          <w:rStyle w:val="StringTok"/>
        </w:rPr>
        <w:t>"S124"</w:t>
      </w:r>
      <w:r>
        <w:rPr>
          <w:rStyle w:val="OtherTok"/>
        </w:rPr>
        <w:t>,</w:t>
      </w:r>
      <w:r>
        <w:br/>
      </w:r>
      <w:r>
        <w:rPr>
          <w:rStyle w:val="NormalTok"/>
        </w:rPr>
        <w:t xml:space="preserve">              </w:t>
      </w:r>
      <w:r>
        <w:rPr>
          <w:rStyle w:val="StringTok"/>
        </w:rPr>
        <w:t>"S125"</w:t>
      </w:r>
      <w:r>
        <w:rPr>
          <w:rStyle w:val="OtherTok"/>
        </w:rPr>
        <w:t>,</w:t>
      </w:r>
      <w:r>
        <w:br/>
      </w:r>
      <w:r>
        <w:rPr>
          <w:rStyle w:val="NormalTok"/>
        </w:rPr>
        <w:t xml:space="preserve">              </w:t>
      </w:r>
      <w:r>
        <w:rPr>
          <w:rStyle w:val="StringTok"/>
        </w:rPr>
        <w:t>"S126"</w:t>
      </w:r>
      <w:r>
        <w:rPr>
          <w:rStyle w:val="OtherTok"/>
        </w:rPr>
        <w:t>,</w:t>
      </w:r>
      <w:r>
        <w:br/>
      </w:r>
      <w:r>
        <w:rPr>
          <w:rStyle w:val="NormalTok"/>
        </w:rPr>
        <w:t xml:space="preserve">              </w:t>
      </w:r>
      <w:r>
        <w:rPr>
          <w:rStyle w:val="StringTok"/>
        </w:rPr>
        <w:t>"S127"</w:t>
      </w:r>
      <w:r>
        <w:rPr>
          <w:rStyle w:val="OtherTok"/>
        </w:rPr>
        <w:t>,</w:t>
      </w:r>
      <w:r>
        <w:br/>
      </w:r>
      <w:r>
        <w:rPr>
          <w:rStyle w:val="NormalTok"/>
        </w:rPr>
        <w:t xml:space="preserve">              </w:t>
      </w:r>
      <w:r>
        <w:rPr>
          <w:rStyle w:val="StringTok"/>
        </w:rPr>
        <w:t>"S128"</w:t>
      </w:r>
      <w:r>
        <w:rPr>
          <w:rStyle w:val="OtherTok"/>
        </w:rPr>
        <w:t>,</w:t>
      </w:r>
      <w:r>
        <w:br/>
      </w:r>
      <w:r>
        <w:rPr>
          <w:rStyle w:val="NormalTok"/>
        </w:rPr>
        <w:t xml:space="preserve">              </w:t>
      </w:r>
      <w:r>
        <w:rPr>
          <w:rStyle w:val="StringTok"/>
        </w:rPr>
        <w:t>"S129"</w:t>
      </w:r>
      <w:r>
        <w:rPr>
          <w:rStyle w:val="OtherTok"/>
        </w:rPr>
        <w:t>,</w:t>
      </w:r>
      <w:r>
        <w:br/>
      </w:r>
      <w:r>
        <w:rPr>
          <w:rStyle w:val="NormalTok"/>
        </w:rPr>
        <w:t xml:space="preserve">              </w:t>
      </w:r>
      <w:r>
        <w:rPr>
          <w:rStyle w:val="StringTok"/>
        </w:rPr>
        <w:t>"S131"</w:t>
      </w:r>
      <w:r>
        <w:rPr>
          <w:rStyle w:val="OtherTok"/>
        </w:rPr>
        <w:t>,</w:t>
      </w:r>
      <w:r>
        <w:br/>
      </w:r>
      <w:r>
        <w:rPr>
          <w:rStyle w:val="NormalTok"/>
        </w:rPr>
        <w:t xml:space="preserve">              </w:t>
      </w:r>
      <w:r>
        <w:rPr>
          <w:rStyle w:val="StringTok"/>
        </w:rPr>
        <w:t>"S201"</w:t>
      </w:r>
      <w:r>
        <w:rPr>
          <w:rStyle w:val="OtherTok"/>
        </w:rPr>
        <w:t>,</w:t>
      </w:r>
      <w:r>
        <w:br/>
      </w:r>
      <w:r>
        <w:rPr>
          <w:rStyle w:val="NormalTok"/>
        </w:rPr>
        <w:t xml:space="preserve">              </w:t>
      </w:r>
      <w:r>
        <w:rPr>
          <w:rStyle w:val="StringTok"/>
        </w:rPr>
        <w:t>"S210"</w:t>
      </w:r>
      <w:r>
        <w:rPr>
          <w:rStyle w:val="OtherTok"/>
        </w:rPr>
        <w:t>,</w:t>
      </w:r>
      <w:r>
        <w:br/>
      </w:r>
      <w:r>
        <w:rPr>
          <w:rStyle w:val="NormalTok"/>
        </w:rPr>
        <w:t xml:space="preserve">              </w:t>
      </w:r>
      <w:r>
        <w:rPr>
          <w:rStyle w:val="StringTok"/>
        </w:rPr>
        <w:t>"S211"</w:t>
      </w:r>
      <w:r>
        <w:rPr>
          <w:rStyle w:val="OtherTok"/>
        </w:rPr>
        <w:t>,</w:t>
      </w:r>
      <w:r>
        <w:br/>
      </w:r>
      <w:r>
        <w:rPr>
          <w:rStyle w:val="NormalTok"/>
        </w:rPr>
        <w:t xml:space="preserve">              </w:t>
      </w:r>
      <w:r>
        <w:rPr>
          <w:rStyle w:val="StringTok"/>
        </w:rPr>
        <w:t>"S212"</w:t>
      </w:r>
      <w:r>
        <w:rPr>
          <w:rStyle w:val="OtherTok"/>
        </w:rPr>
        <w:t>,</w:t>
      </w:r>
      <w:r>
        <w:br/>
      </w:r>
      <w:r>
        <w:rPr>
          <w:rStyle w:val="NormalTok"/>
        </w:rPr>
        <w:t xml:space="preserve">              </w:t>
      </w:r>
      <w:r>
        <w:rPr>
          <w:rStyle w:val="StringTok"/>
        </w:rPr>
        <w:t>"S401"</w:t>
      </w:r>
      <w:r>
        <w:rPr>
          <w:rStyle w:val="OtherTok"/>
        </w:rPr>
        <w:t>,</w:t>
      </w:r>
      <w:r>
        <w:br/>
      </w:r>
      <w:r>
        <w:rPr>
          <w:rStyle w:val="NormalTok"/>
        </w:rPr>
        <w:t xml:space="preserve">              </w:t>
      </w:r>
      <w:r>
        <w:rPr>
          <w:rStyle w:val="StringTok"/>
        </w:rPr>
        <w:t>"S402"</w:t>
      </w:r>
      <w:r>
        <w:rPr>
          <w:rStyle w:val="OtherTok"/>
        </w:rPr>
        <w:t>,</w:t>
      </w:r>
      <w:r>
        <w:br/>
      </w:r>
      <w:r>
        <w:rPr>
          <w:rStyle w:val="NormalTok"/>
        </w:rPr>
        <w:t xml:space="preserve">              </w:t>
      </w:r>
      <w:r>
        <w:rPr>
          <w:rStyle w:val="StringTok"/>
        </w:rPr>
        <w:t>"S411"</w:t>
      </w:r>
      <w:r>
        <w:rPr>
          <w:rStyle w:val="OtherTok"/>
        </w:rPr>
        <w:t>,</w:t>
      </w:r>
      <w:r>
        <w:br/>
      </w:r>
      <w:r>
        <w:rPr>
          <w:rStyle w:val="NormalTok"/>
        </w:rPr>
        <w:t xml:space="preserve">              </w:t>
      </w:r>
      <w:r>
        <w:rPr>
          <w:rStyle w:val="StringTok"/>
        </w:rPr>
        <w:t>"S412"</w:t>
      </w:r>
      <w:r>
        <w:rPr>
          <w:rStyle w:val="OtherTok"/>
        </w:rPr>
        <w:t>,</w:t>
      </w:r>
      <w:r>
        <w:br/>
      </w:r>
      <w:r>
        <w:rPr>
          <w:rStyle w:val="NormalTok"/>
        </w:rPr>
        <w:t xml:space="preserve">              </w:t>
      </w:r>
      <w:r>
        <w:rPr>
          <w:rStyle w:val="StringTok"/>
        </w:rPr>
        <w:t>"S413"</w:t>
      </w:r>
      <w:r>
        <w:rPr>
          <w:rStyle w:val="OtherTok"/>
        </w:rPr>
        <w:t>,</w:t>
      </w:r>
      <w:r>
        <w:br/>
      </w:r>
      <w:r>
        <w:rPr>
          <w:rStyle w:val="NormalTok"/>
        </w:rPr>
        <w:t xml:space="preserve">              </w:t>
      </w:r>
      <w:r>
        <w:rPr>
          <w:rStyle w:val="StringTok"/>
        </w:rPr>
        <w:t>"S414"</w:t>
      </w:r>
      <w:r>
        <w:rPr>
          <w:rStyle w:val="OtherTok"/>
        </w:rPr>
        <w:t>,</w:t>
      </w:r>
      <w:r>
        <w:br/>
      </w:r>
      <w:r>
        <w:rPr>
          <w:rStyle w:val="NormalTok"/>
        </w:rPr>
        <w:t xml:space="preserve">              </w:t>
      </w:r>
      <w:r>
        <w:rPr>
          <w:rStyle w:val="StringTok"/>
        </w:rPr>
        <w:t>"S421"</w:t>
      </w:r>
      <w:r>
        <w:rPr>
          <w:rStyle w:val="OtherTok"/>
        </w:rPr>
        <w:t>,</w:t>
      </w:r>
      <w:r>
        <w:br/>
      </w:r>
      <w:r>
        <w:rPr>
          <w:rStyle w:val="NormalTok"/>
        </w:rPr>
        <w:t xml:space="preserve">              </w:t>
      </w:r>
      <w:r>
        <w:rPr>
          <w:rStyle w:val="StringTok"/>
        </w:rPr>
        <w:t>"RTZ"</w:t>
      </w:r>
      <w:r>
        <w:rPr>
          <w:rStyle w:val="OtherTok"/>
        </w:rPr>
        <w:t>,</w:t>
      </w:r>
      <w:r>
        <w:br/>
      </w:r>
      <w:r>
        <w:rPr>
          <w:rStyle w:val="NormalTok"/>
        </w:rPr>
        <w:t xml:space="preserve">              </w:t>
      </w:r>
      <w:r>
        <w:rPr>
          <w:rStyle w:val="StringTok"/>
        </w:rPr>
        <w:t>"EPC"</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info_identifier</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info_name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info_status</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info_description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info_lastModifiedDate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lastRenderedPageBreak/>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"The last modified date-time"</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"19850412T101530"</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info_productVersion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info_size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"int64"</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PingResponseObject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lastPrivateInteractionTime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"The last private interaction date-time"</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"19850412T101530"</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RemoveSubscriptionResponseObject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"message"</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"RemoveSubscriptionObject"</w:t>
      </w:r>
      <w:r>
        <w:rPr>
          <w:rStyle w:val="FunctionTok"/>
        </w:rPr>
        <w:t>:</w:t>
      </w:r>
      <w:r>
        <w:rPr>
          <w:rStyle w:val="NormalTok"/>
        </w:rPr>
        <w:t xml:space="preserve"> </w:t>
      </w:r>
      <w:r>
        <w:rPr>
          <w:rStyle w:val="FunctionTok"/>
        </w:rPr>
        <w:t>{</w:t>
      </w:r>
      <w:r>
        <w:br/>
      </w:r>
      <w:r>
        <w:rPr>
          <w:rStyle w:val="NormalTok"/>
        </w:rPr>
        <w:t xml:space="preserve">        </w:t>
      </w:r>
      <w:r>
        <w:rPr>
          <w:rStyle w:val="DataTypeTok"/>
        </w:rPr>
        <w:t>"required"</w:t>
      </w:r>
      <w:r>
        <w:rPr>
          <w:rStyle w:val="FunctionTok"/>
        </w:rPr>
        <w:t>:</w:t>
      </w:r>
      <w:r>
        <w:rPr>
          <w:rStyle w:val="NormalTok"/>
        </w:rPr>
        <w:t xml:space="preserve"> </w:t>
      </w:r>
      <w:r>
        <w:rPr>
          <w:rStyle w:val="OtherTok"/>
        </w:rPr>
        <w:t>[</w:t>
      </w:r>
      <w:r>
        <w:br/>
      </w:r>
      <w:r>
        <w:rPr>
          <w:rStyle w:val="NormalTok"/>
        </w:rPr>
        <w:t xml:space="preserve">          </w:t>
      </w:r>
      <w:r>
        <w:rPr>
          <w:rStyle w:val="StringTok"/>
        </w:rPr>
        <w:t>"</w:t>
      </w:r>
      <w:proofErr w:type="spellStart"/>
      <w:r>
        <w:rPr>
          <w:rStyle w:val="StringTok"/>
        </w:rPr>
        <w:t>subscriptionIdentifier</w:t>
      </w:r>
      <w:proofErr w:type="spellEnd"/>
      <w:r>
        <w:rPr>
          <w:rStyle w:val="StringTok"/>
        </w:rPr>
        <w:t>"</w:t>
      </w:r>
      <w:r>
        <w:br/>
      </w:r>
      <w:r>
        <w:rPr>
          <w:rStyle w:val="NormalTok"/>
        </w:rPr>
        <w:t xml:space="preserve">        </w:t>
      </w:r>
      <w:r>
        <w:rPr>
          <w:rStyle w:val="OtherTok"/>
        </w:rPr>
        <w:t>]</w:t>
      </w:r>
      <w:r>
        <w:rPr>
          <w:rStyle w:val="FunctionTok"/>
        </w:rPr>
        <w:t>,</w:t>
      </w:r>
      <w:r>
        <w:br/>
      </w:r>
      <w:r>
        <w:rPr>
          <w:rStyle w:val="NormalTok"/>
        </w:rPr>
        <w:lastRenderedPageBreak/>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subscriptionIdentifier</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w:t>
      </w:r>
      <w:proofErr w:type="spellStart"/>
      <w:r>
        <w:rPr>
          <w:rStyle w:val="StringTok"/>
        </w:rPr>
        <w:t>uuid</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SubscriptionResponseObject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subscriptionIdentifier</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w:t>
      </w:r>
      <w:proofErr w:type="spellStart"/>
      <w:r>
        <w:rPr>
          <w:rStyle w:val="StringTok"/>
        </w:rPr>
        <w:t>uuid</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"message"</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SubscriptionRequestObject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"object"</w:t>
      </w:r>
      <w:r>
        <w:rPr>
          <w:rStyle w:val="FunctionTok"/>
        </w:rPr>
        <w:t>,</w:t>
      </w:r>
      <w:r>
        <w:br/>
      </w:r>
      <w:r>
        <w:rPr>
          <w:rStyle w:val="NormalTok"/>
        </w:rPr>
        <w:t xml:space="preserve">        </w:t>
      </w:r>
      <w:r>
        <w:rPr>
          <w:rStyle w:val="DataTypeTok"/>
        </w:rPr>
        <w:t>"properties"</w:t>
      </w:r>
      <w:r>
        <w:rPr>
          <w:rStyle w:val="FunctionTok"/>
        </w:rPr>
        <w:t>:</w:t>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containerType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"integer"</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"int32"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"integer"</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dataProductType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rPr>
          <w:rStyle w:val="FunctionTok"/>
        </w:rPr>
        <w:t>,</w:t>
      </w:r>
      <w:r>
        <w:br/>
      </w:r>
      <w:r>
        <w:rPr>
          <w:rStyle w:val="NormalTok"/>
        </w:rPr>
        <w:t xml:space="preserve">            </w:t>
      </w:r>
      <w:r>
        <w:rPr>
          <w:rStyle w:val="DataTypeTok"/>
        </w:rPr>
        <w:t>"</w:t>
      </w:r>
      <w:proofErr w:type="spellStart"/>
      <w:r>
        <w:rPr>
          <w:rStyle w:val="DataTypeTok"/>
        </w:rPr>
        <w:t>enum</w:t>
      </w:r>
      <w:proofErr w:type="spellEnd"/>
      <w:r>
        <w:rPr>
          <w:rStyle w:val="DataTypeTok"/>
        </w:rPr>
        <w:t>"</w:t>
      </w:r>
      <w:r>
        <w:rPr>
          <w:rStyle w:val="FunctionTok"/>
        </w:rPr>
        <w:t>:</w:t>
      </w:r>
      <w:r>
        <w:rPr>
          <w:rStyle w:val="NormalTok"/>
        </w:rPr>
        <w:t xml:space="preserve"> </w:t>
      </w:r>
      <w:r>
        <w:rPr>
          <w:rStyle w:val="OtherTok"/>
        </w:rPr>
        <w:t>[</w:t>
      </w:r>
      <w:r>
        <w:br/>
      </w:r>
      <w:r>
        <w:rPr>
          <w:rStyle w:val="NormalTok"/>
        </w:rPr>
        <w:t xml:space="preserve">              </w:t>
      </w:r>
      <w:r>
        <w:rPr>
          <w:rStyle w:val="StringTok"/>
        </w:rPr>
        <w:t>"OTHER"</w:t>
      </w:r>
      <w:r>
        <w:rPr>
          <w:rStyle w:val="OtherTok"/>
        </w:rPr>
        <w:t>,</w:t>
      </w:r>
      <w:r>
        <w:br/>
      </w:r>
      <w:r>
        <w:rPr>
          <w:rStyle w:val="NormalTok"/>
        </w:rPr>
        <w:t xml:space="preserve">              </w:t>
      </w:r>
      <w:r>
        <w:rPr>
          <w:rStyle w:val="StringTok"/>
        </w:rPr>
        <w:t>"S57"</w:t>
      </w:r>
      <w:r>
        <w:rPr>
          <w:rStyle w:val="OtherTok"/>
        </w:rPr>
        <w:t>,</w:t>
      </w:r>
      <w:r>
        <w:br/>
      </w:r>
      <w:r>
        <w:rPr>
          <w:rStyle w:val="NormalTok"/>
        </w:rPr>
        <w:t xml:space="preserve">              </w:t>
      </w:r>
      <w:r>
        <w:rPr>
          <w:rStyle w:val="StringTok"/>
        </w:rPr>
        <w:t>"S101"</w:t>
      </w:r>
      <w:r>
        <w:rPr>
          <w:rStyle w:val="OtherTok"/>
        </w:rPr>
        <w:t>,</w:t>
      </w:r>
      <w:r>
        <w:br/>
      </w:r>
      <w:r>
        <w:rPr>
          <w:rStyle w:val="NormalTok"/>
        </w:rPr>
        <w:t xml:space="preserve">              </w:t>
      </w:r>
      <w:r>
        <w:rPr>
          <w:rStyle w:val="StringTok"/>
        </w:rPr>
        <w:t>"S102"</w:t>
      </w:r>
      <w:r>
        <w:rPr>
          <w:rStyle w:val="OtherTok"/>
        </w:rPr>
        <w:t>,</w:t>
      </w:r>
      <w:r>
        <w:br/>
      </w:r>
      <w:r>
        <w:rPr>
          <w:rStyle w:val="NormalTok"/>
        </w:rPr>
        <w:t xml:space="preserve">              </w:t>
      </w:r>
      <w:r>
        <w:rPr>
          <w:rStyle w:val="StringTok"/>
        </w:rPr>
        <w:t>"S104"</w:t>
      </w:r>
      <w:r>
        <w:rPr>
          <w:rStyle w:val="OtherTok"/>
        </w:rPr>
        <w:t>,</w:t>
      </w:r>
      <w:r>
        <w:br/>
      </w:r>
      <w:r>
        <w:rPr>
          <w:rStyle w:val="NormalTok"/>
        </w:rPr>
        <w:t xml:space="preserve">              </w:t>
      </w:r>
      <w:r>
        <w:rPr>
          <w:rStyle w:val="StringTok"/>
        </w:rPr>
        <w:t>"S111"</w:t>
      </w:r>
      <w:r>
        <w:rPr>
          <w:rStyle w:val="OtherTok"/>
        </w:rPr>
        <w:t>,</w:t>
      </w:r>
      <w:r>
        <w:br/>
      </w:r>
      <w:r>
        <w:rPr>
          <w:rStyle w:val="NormalTok"/>
        </w:rPr>
        <w:t xml:space="preserve">              </w:t>
      </w:r>
      <w:r>
        <w:rPr>
          <w:rStyle w:val="StringTok"/>
        </w:rPr>
        <w:t>"S122"</w:t>
      </w:r>
      <w:r>
        <w:rPr>
          <w:rStyle w:val="OtherTok"/>
        </w:rPr>
        <w:t>,</w:t>
      </w:r>
      <w:r>
        <w:br/>
      </w:r>
      <w:r>
        <w:rPr>
          <w:rStyle w:val="NormalTok"/>
        </w:rPr>
        <w:lastRenderedPageBreak/>
        <w:t xml:space="preserve">              </w:t>
      </w:r>
      <w:r>
        <w:rPr>
          <w:rStyle w:val="StringTok"/>
        </w:rPr>
        <w:t>"S123"</w:t>
      </w:r>
      <w:r>
        <w:rPr>
          <w:rStyle w:val="OtherTok"/>
        </w:rPr>
        <w:t>,</w:t>
      </w:r>
      <w:r>
        <w:br/>
      </w:r>
      <w:r>
        <w:rPr>
          <w:rStyle w:val="NormalTok"/>
        </w:rPr>
        <w:t xml:space="preserve">              </w:t>
      </w:r>
      <w:r>
        <w:rPr>
          <w:rStyle w:val="StringTok"/>
        </w:rPr>
        <w:t>"S124"</w:t>
      </w:r>
      <w:r>
        <w:rPr>
          <w:rStyle w:val="OtherTok"/>
        </w:rPr>
        <w:t>,</w:t>
      </w:r>
      <w:r>
        <w:br/>
      </w:r>
      <w:r>
        <w:rPr>
          <w:rStyle w:val="NormalTok"/>
        </w:rPr>
        <w:t xml:space="preserve">              </w:t>
      </w:r>
      <w:r>
        <w:rPr>
          <w:rStyle w:val="StringTok"/>
        </w:rPr>
        <w:t>"S125"</w:t>
      </w:r>
      <w:r>
        <w:rPr>
          <w:rStyle w:val="OtherTok"/>
        </w:rPr>
        <w:t>,</w:t>
      </w:r>
      <w:r>
        <w:br/>
      </w:r>
      <w:r>
        <w:rPr>
          <w:rStyle w:val="NormalTok"/>
        </w:rPr>
        <w:t xml:space="preserve">              </w:t>
      </w:r>
      <w:r>
        <w:rPr>
          <w:rStyle w:val="StringTok"/>
        </w:rPr>
        <w:t>"S126"</w:t>
      </w:r>
      <w:r>
        <w:rPr>
          <w:rStyle w:val="OtherTok"/>
        </w:rPr>
        <w:t>,</w:t>
      </w:r>
      <w:r>
        <w:br/>
      </w:r>
      <w:r>
        <w:rPr>
          <w:rStyle w:val="NormalTok"/>
        </w:rPr>
        <w:t xml:space="preserve">              </w:t>
      </w:r>
      <w:r>
        <w:rPr>
          <w:rStyle w:val="StringTok"/>
        </w:rPr>
        <w:t>"S127"</w:t>
      </w:r>
      <w:r>
        <w:rPr>
          <w:rStyle w:val="OtherTok"/>
        </w:rPr>
        <w:t>,</w:t>
      </w:r>
      <w:r>
        <w:br/>
      </w:r>
      <w:r>
        <w:rPr>
          <w:rStyle w:val="NormalTok"/>
        </w:rPr>
        <w:t xml:space="preserve">              </w:t>
      </w:r>
      <w:r>
        <w:rPr>
          <w:rStyle w:val="StringTok"/>
        </w:rPr>
        <w:t>"S128"</w:t>
      </w:r>
      <w:r>
        <w:rPr>
          <w:rStyle w:val="OtherTok"/>
        </w:rPr>
        <w:t>,</w:t>
      </w:r>
      <w:r>
        <w:br/>
      </w:r>
      <w:r>
        <w:rPr>
          <w:rStyle w:val="NormalTok"/>
        </w:rPr>
        <w:t xml:space="preserve">              </w:t>
      </w:r>
      <w:r>
        <w:rPr>
          <w:rStyle w:val="StringTok"/>
        </w:rPr>
        <w:t>"S129"</w:t>
      </w:r>
      <w:r>
        <w:rPr>
          <w:rStyle w:val="OtherTok"/>
        </w:rPr>
        <w:t>,</w:t>
      </w:r>
      <w:r>
        <w:br/>
      </w:r>
      <w:r>
        <w:rPr>
          <w:rStyle w:val="NormalTok"/>
        </w:rPr>
        <w:t xml:space="preserve">              </w:t>
      </w:r>
      <w:r>
        <w:rPr>
          <w:rStyle w:val="StringTok"/>
        </w:rPr>
        <w:t>"S131"</w:t>
      </w:r>
      <w:r>
        <w:rPr>
          <w:rStyle w:val="OtherTok"/>
        </w:rPr>
        <w:t>,</w:t>
      </w:r>
      <w:r>
        <w:br/>
      </w:r>
      <w:r>
        <w:rPr>
          <w:rStyle w:val="NormalTok"/>
        </w:rPr>
        <w:t xml:space="preserve">              </w:t>
      </w:r>
      <w:r>
        <w:rPr>
          <w:rStyle w:val="StringTok"/>
        </w:rPr>
        <w:t>"S201"</w:t>
      </w:r>
      <w:r>
        <w:rPr>
          <w:rStyle w:val="OtherTok"/>
        </w:rPr>
        <w:t>,</w:t>
      </w:r>
      <w:r>
        <w:br/>
      </w:r>
      <w:r>
        <w:rPr>
          <w:rStyle w:val="NormalTok"/>
        </w:rPr>
        <w:t xml:space="preserve">              </w:t>
      </w:r>
      <w:r>
        <w:rPr>
          <w:rStyle w:val="StringTok"/>
        </w:rPr>
        <w:t>"S210"</w:t>
      </w:r>
      <w:r>
        <w:rPr>
          <w:rStyle w:val="OtherTok"/>
        </w:rPr>
        <w:t>,</w:t>
      </w:r>
      <w:r>
        <w:br/>
      </w:r>
      <w:r>
        <w:rPr>
          <w:rStyle w:val="NormalTok"/>
        </w:rPr>
        <w:t xml:space="preserve">              </w:t>
      </w:r>
      <w:r>
        <w:rPr>
          <w:rStyle w:val="StringTok"/>
        </w:rPr>
        <w:t>"S211"</w:t>
      </w:r>
      <w:r>
        <w:rPr>
          <w:rStyle w:val="OtherTok"/>
        </w:rPr>
        <w:t>,</w:t>
      </w:r>
      <w:r>
        <w:br/>
      </w:r>
      <w:r>
        <w:rPr>
          <w:rStyle w:val="NormalTok"/>
        </w:rPr>
        <w:t xml:space="preserve">              </w:t>
      </w:r>
      <w:r>
        <w:rPr>
          <w:rStyle w:val="StringTok"/>
        </w:rPr>
        <w:t>"S212"</w:t>
      </w:r>
      <w:r>
        <w:rPr>
          <w:rStyle w:val="OtherTok"/>
        </w:rPr>
        <w:t>,</w:t>
      </w:r>
      <w:r>
        <w:br/>
      </w:r>
      <w:r>
        <w:rPr>
          <w:rStyle w:val="NormalTok"/>
        </w:rPr>
        <w:t xml:space="preserve">              </w:t>
      </w:r>
      <w:r>
        <w:rPr>
          <w:rStyle w:val="StringTok"/>
        </w:rPr>
        <w:t>"S401"</w:t>
      </w:r>
      <w:r>
        <w:rPr>
          <w:rStyle w:val="OtherTok"/>
        </w:rPr>
        <w:t>,</w:t>
      </w:r>
      <w:r>
        <w:br/>
      </w:r>
      <w:r>
        <w:rPr>
          <w:rStyle w:val="NormalTok"/>
        </w:rPr>
        <w:t xml:space="preserve">              </w:t>
      </w:r>
      <w:r>
        <w:rPr>
          <w:rStyle w:val="StringTok"/>
        </w:rPr>
        <w:t>"S402"</w:t>
      </w:r>
      <w:r>
        <w:rPr>
          <w:rStyle w:val="OtherTok"/>
        </w:rPr>
        <w:t>,</w:t>
      </w:r>
      <w:r>
        <w:br/>
      </w:r>
      <w:r>
        <w:rPr>
          <w:rStyle w:val="NormalTok"/>
        </w:rPr>
        <w:t xml:space="preserve">              </w:t>
      </w:r>
      <w:r>
        <w:rPr>
          <w:rStyle w:val="StringTok"/>
        </w:rPr>
        <w:t>"S411"</w:t>
      </w:r>
      <w:r>
        <w:rPr>
          <w:rStyle w:val="OtherTok"/>
        </w:rPr>
        <w:t>,</w:t>
      </w:r>
      <w:r>
        <w:br/>
      </w:r>
      <w:r>
        <w:rPr>
          <w:rStyle w:val="NormalTok"/>
        </w:rPr>
        <w:t xml:space="preserve">              </w:t>
      </w:r>
      <w:r>
        <w:rPr>
          <w:rStyle w:val="StringTok"/>
        </w:rPr>
        <w:t>"S412"</w:t>
      </w:r>
      <w:r>
        <w:rPr>
          <w:rStyle w:val="OtherTok"/>
        </w:rPr>
        <w:t>,</w:t>
      </w:r>
      <w:r>
        <w:br/>
      </w:r>
      <w:r>
        <w:rPr>
          <w:rStyle w:val="NormalTok"/>
        </w:rPr>
        <w:t xml:space="preserve">              </w:t>
      </w:r>
      <w:r>
        <w:rPr>
          <w:rStyle w:val="StringTok"/>
        </w:rPr>
        <w:t>"S413"</w:t>
      </w:r>
      <w:r>
        <w:rPr>
          <w:rStyle w:val="OtherTok"/>
        </w:rPr>
        <w:t>,</w:t>
      </w:r>
      <w:r>
        <w:br/>
      </w:r>
      <w:r>
        <w:rPr>
          <w:rStyle w:val="NormalTok"/>
        </w:rPr>
        <w:t xml:space="preserve">              </w:t>
      </w:r>
      <w:r>
        <w:rPr>
          <w:rStyle w:val="StringTok"/>
        </w:rPr>
        <w:t>"S414"</w:t>
      </w:r>
      <w:r>
        <w:rPr>
          <w:rStyle w:val="OtherTok"/>
        </w:rPr>
        <w:t>,</w:t>
      </w:r>
      <w:r>
        <w:br/>
      </w:r>
      <w:r>
        <w:rPr>
          <w:rStyle w:val="NormalTok"/>
        </w:rPr>
        <w:t xml:space="preserve">              </w:t>
      </w:r>
      <w:r>
        <w:rPr>
          <w:rStyle w:val="StringTok"/>
        </w:rPr>
        <w:t>"S421"</w:t>
      </w:r>
      <w:r>
        <w:rPr>
          <w:rStyle w:val="OtherTok"/>
        </w:rPr>
        <w:t>,</w:t>
      </w:r>
      <w:r>
        <w:br/>
      </w:r>
      <w:r>
        <w:rPr>
          <w:rStyle w:val="NormalTok"/>
        </w:rPr>
        <w:t xml:space="preserve">              </w:t>
      </w:r>
      <w:r>
        <w:rPr>
          <w:rStyle w:val="StringTok"/>
        </w:rPr>
        <w:t>"RTZ"</w:t>
      </w:r>
      <w:r>
        <w:rPr>
          <w:rStyle w:val="OtherTok"/>
        </w:rPr>
        <w:t>,</w:t>
      </w:r>
      <w:r>
        <w:br/>
      </w:r>
      <w:r>
        <w:rPr>
          <w:rStyle w:val="NormalTok"/>
        </w:rPr>
        <w:t xml:space="preserve">              </w:t>
      </w:r>
      <w:r>
        <w:rPr>
          <w:rStyle w:val="StringTok"/>
        </w:rPr>
        <w:t>"EPC"</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dataReference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"format"</w:t>
      </w:r>
      <w:r>
        <w:rPr>
          <w:rStyle w:val="FunctionTok"/>
        </w:rPr>
        <w:t>:</w:t>
      </w:r>
      <w:r>
        <w:rPr>
          <w:rStyle w:val="NormalTok"/>
        </w:rPr>
        <w:t xml:space="preserve"> </w:t>
      </w:r>
      <w:r>
        <w:rPr>
          <w:rStyle w:val="StringTok"/>
        </w:rPr>
        <w:t>"</w:t>
      </w:r>
      <w:proofErr w:type="spellStart"/>
      <w:r>
        <w:rPr>
          <w:rStyle w:val="StringTok"/>
        </w:rPr>
        <w:t>uuid</w:t>
      </w:r>
      <w:proofErr w:type="spellEnd"/>
      <w:r>
        <w:rPr>
          <w:rStyle w:val="StringTok"/>
        </w:rPr>
        <w:t>"</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productVersion</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"geometry"</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"^([A-Z]+</w:t>
      </w:r>
      <w:r>
        <w:rPr>
          <w:rStyle w:val="CharTok"/>
        </w:rPr>
        <w:t>\\</w:t>
      </w:r>
      <w:r>
        <w:rPr>
          <w:rStyle w:val="StringTok"/>
        </w:rPr>
        <w:t>s*</w:t>
      </w:r>
      <w:r>
        <w:rPr>
          <w:rStyle w:val="CharTok"/>
        </w:rPr>
        <w:t>\\</w:t>
      </w:r>
      <w:r>
        <w:rPr>
          <w:rStyle w:val="StringTok"/>
        </w:rPr>
        <w:t>(</w:t>
      </w:r>
      <w:r>
        <w:rPr>
          <w:rStyle w:val="CharTok"/>
        </w:rPr>
        <w:t>\\</w:t>
      </w:r>
      <w:r>
        <w:rPr>
          <w:rStyle w:val="StringTok"/>
        </w:rPr>
        <w:t>(?</w:t>
      </w:r>
      <w:r>
        <w:rPr>
          <w:rStyle w:val="CharTok"/>
        </w:rPr>
        <w:t>\\</w:t>
      </w:r>
      <w:r>
        <w:rPr>
          <w:rStyle w:val="StringTok"/>
        </w:rPr>
        <w:t>s*(-?</w:t>
      </w:r>
      <w:r>
        <w:rPr>
          <w:rStyle w:val="CharTok"/>
        </w:rPr>
        <w:t>\\</w:t>
      </w:r>
      <w:r>
        <w:rPr>
          <w:rStyle w:val="StringTok"/>
        </w:rPr>
        <w:t>d+(</w:t>
      </w:r>
      <w:r>
        <w:rPr>
          <w:rStyle w:val="CharTok"/>
        </w:rPr>
        <w:t>\\</w:t>
      </w:r>
      <w:r>
        <w:rPr>
          <w:rStyle w:val="StringTok"/>
        </w:rPr>
        <w:t>.</w:t>
      </w:r>
      <w:r>
        <w:rPr>
          <w:rStyle w:val="CharTok"/>
        </w:rPr>
        <w:t>\\</w:t>
      </w:r>
      <w:r>
        <w:rPr>
          <w:rStyle w:val="StringTok"/>
        </w:rPr>
        <w:t>d+)?)</w:t>
      </w:r>
      <w:r>
        <w:rPr>
          <w:rStyle w:val="CharTok"/>
        </w:rPr>
        <w:t>\\</w:t>
      </w:r>
      <w:r>
        <w:rPr>
          <w:rStyle w:val="StringTok"/>
        </w:rPr>
        <w:t>s+-?</w:t>
      </w:r>
      <w:r>
        <w:rPr>
          <w:rStyle w:val="CharTok"/>
        </w:rPr>
        <w:t>\\</w:t>
      </w:r>
      <w:r>
        <w:rPr>
          <w:rStyle w:val="StringTok"/>
        </w:rPr>
        <w:t>d+(</w:t>
      </w:r>
      <w:r>
        <w:rPr>
          <w:rStyle w:val="CharTok"/>
        </w:rPr>
        <w:t>\\</w:t>
      </w:r>
      <w:r>
        <w:rPr>
          <w:rStyle w:val="StringTok"/>
        </w:rPr>
        <w:t>.</w:t>
      </w:r>
      <w:r>
        <w:rPr>
          <w:rStyle w:val="CharTok"/>
        </w:rPr>
        <w:t>\\</w:t>
      </w:r>
      <w:r>
        <w:rPr>
          <w:rStyle w:val="StringTok"/>
        </w:rPr>
        <w:t>d+)?(?:</w:t>
      </w:r>
      <w:r>
        <w:rPr>
          <w:rStyle w:val="CharTok"/>
        </w:rPr>
        <w:t>\\</w:t>
      </w:r>
      <w:r>
        <w:rPr>
          <w:rStyle w:val="StringTok"/>
        </w:rPr>
        <w:t>s+-?</w:t>
      </w:r>
      <w:r>
        <w:rPr>
          <w:rStyle w:val="CharTok"/>
        </w:rPr>
        <w:t>\\</w:t>
      </w:r>
      <w:r>
        <w:rPr>
          <w:rStyle w:val="StringTok"/>
        </w:rPr>
        <w:t>d+(</w:t>
      </w:r>
      <w:r>
        <w:rPr>
          <w:rStyle w:val="CharTok"/>
        </w:rPr>
        <w:t>\\</w:t>
      </w:r>
      <w:r>
        <w:rPr>
          <w:rStyle w:val="StringTok"/>
        </w:rPr>
        <w:t>.</w:t>
      </w:r>
      <w:r>
        <w:rPr>
          <w:rStyle w:val="CharTok"/>
        </w:rPr>
        <w:t>\\</w:t>
      </w:r>
      <w:r>
        <w:rPr>
          <w:rStyle w:val="StringTok"/>
        </w:rPr>
        <w:t>d+)?)?</w:t>
      </w:r>
      <w:r>
        <w:rPr>
          <w:rStyle w:val="CharTok"/>
        </w:rPr>
        <w:t>\\</w:t>
      </w:r>
      <w:r>
        <w:rPr>
          <w:rStyle w:val="StringTok"/>
        </w:rPr>
        <w:t>s*(,</w:t>
      </w:r>
      <w:r>
        <w:rPr>
          <w:rStyle w:val="CharTok"/>
        </w:rPr>
        <w:t>\\</w:t>
      </w:r>
      <w:r>
        <w:rPr>
          <w:rStyle w:val="StringTok"/>
        </w:rPr>
        <w:t>s*(-?</w:t>
      </w:r>
      <w:r>
        <w:rPr>
          <w:rStyle w:val="CharTok"/>
        </w:rPr>
        <w:t>\\</w:t>
      </w:r>
      <w:r>
        <w:rPr>
          <w:rStyle w:val="StringTok"/>
        </w:rPr>
        <w:t>d+(</w:t>
      </w:r>
      <w:r>
        <w:rPr>
          <w:rStyle w:val="CharTok"/>
        </w:rPr>
        <w:t>\\</w:t>
      </w:r>
      <w:r>
        <w:rPr>
          <w:rStyle w:val="StringTok"/>
        </w:rPr>
        <w:t>.</w:t>
      </w:r>
      <w:r>
        <w:rPr>
          <w:rStyle w:val="CharTok"/>
        </w:rPr>
        <w:t>\\</w:t>
      </w:r>
      <w:r>
        <w:rPr>
          <w:rStyle w:val="StringTok"/>
        </w:rPr>
        <w:t>d+)?)</w:t>
      </w:r>
      <w:r>
        <w:rPr>
          <w:rStyle w:val="CharTok"/>
        </w:rPr>
        <w:t>\\</w:t>
      </w:r>
      <w:r>
        <w:rPr>
          <w:rStyle w:val="StringTok"/>
        </w:rPr>
        <w:t>s+-?</w:t>
      </w:r>
      <w:r>
        <w:rPr>
          <w:rStyle w:val="CharTok"/>
        </w:rPr>
        <w:t>\\</w:t>
      </w:r>
      <w:r>
        <w:rPr>
          <w:rStyle w:val="StringTok"/>
        </w:rPr>
        <w:t>d+(</w:t>
      </w:r>
      <w:r>
        <w:rPr>
          <w:rStyle w:val="CharTok"/>
        </w:rPr>
        <w:t>\\</w:t>
      </w:r>
      <w:r>
        <w:rPr>
          <w:rStyle w:val="StringTok"/>
        </w:rPr>
        <w:t>.</w:t>
      </w:r>
      <w:r>
        <w:rPr>
          <w:rStyle w:val="CharTok"/>
        </w:rPr>
        <w:t>\\</w:t>
      </w:r>
      <w:r>
        <w:rPr>
          <w:rStyle w:val="StringTok"/>
        </w:rPr>
        <w:t>d+)?(?:</w:t>
      </w:r>
      <w:r>
        <w:rPr>
          <w:rStyle w:val="CharTok"/>
        </w:rPr>
        <w:t>\\</w:t>
      </w:r>
      <w:r>
        <w:rPr>
          <w:rStyle w:val="StringTok"/>
        </w:rPr>
        <w:t>s+-?</w:t>
      </w:r>
      <w:r>
        <w:rPr>
          <w:rStyle w:val="CharTok"/>
        </w:rPr>
        <w:t>\\</w:t>
      </w:r>
      <w:r>
        <w:rPr>
          <w:rStyle w:val="StringTok"/>
        </w:rPr>
        <w:t>d+(</w:t>
      </w:r>
      <w:r>
        <w:rPr>
          <w:rStyle w:val="CharTok"/>
        </w:rPr>
        <w:t>\\</w:t>
      </w:r>
      <w:r>
        <w:rPr>
          <w:rStyle w:val="StringTok"/>
        </w:rPr>
        <w:t>.</w:t>
      </w:r>
      <w:r>
        <w:rPr>
          <w:rStyle w:val="CharTok"/>
        </w:rPr>
        <w:t>\\</w:t>
      </w:r>
      <w:r>
        <w:rPr>
          <w:rStyle w:val="StringTok"/>
        </w:rPr>
        <w:t>d+)?)?</w:t>
      </w:r>
      <w:r>
        <w:rPr>
          <w:rStyle w:val="CharTok"/>
        </w:rPr>
        <w:t>\\</w:t>
      </w:r>
      <w:r>
        <w:rPr>
          <w:rStyle w:val="StringTok"/>
        </w:rPr>
        <w:t>s*)*</w:t>
      </w:r>
      <w:r>
        <w:rPr>
          <w:rStyle w:val="CharTok"/>
        </w:rPr>
        <w:t>\\</w:t>
      </w:r>
      <w:r>
        <w:rPr>
          <w:rStyle w:val="StringTok"/>
        </w:rPr>
        <w:t>)</w:t>
      </w:r>
      <w:r>
        <w:rPr>
          <w:rStyle w:val="CharTok"/>
        </w:rPr>
        <w:t>\\</w:t>
      </w:r>
      <w:r>
        <w:rPr>
          <w:rStyle w:val="StringTok"/>
        </w:rPr>
        <w:t>)?</w:t>
      </w:r>
      <w:r>
        <w:rPr>
          <w:rStyle w:val="CharTok"/>
        </w:rPr>
        <w:t>\\</w:t>
      </w:r>
      <w:r>
        <w:rPr>
          <w:rStyle w:val="StringTok"/>
        </w:rPr>
        <w:t>s*)+$"</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"The subscription geometry"</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"POLYGON ((0.65 51.42, 0.65 52.26, 2.68 52.26, 2.68 51.42, 0.65 51.42))"</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unlocode</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"[A-Z]{5}"</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"The subscription area as UNLOCODE"</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"GBHRW"</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lastRenderedPageBreak/>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subscriptionPeriodStart</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"The subscription period start"</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"19850412T101530"</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subscriptionPeriodEnd</w:t>
      </w:r>
      <w:proofErr w:type="spellEnd"/>
      <w:r>
        <w:rPr>
          <w:rStyle w:val="DataTypeTok"/>
        </w:rPr>
        <w:t>"</w:t>
      </w:r>
      <w:r>
        <w:rPr>
          <w:rStyle w:val="FunctionTok"/>
        </w:rPr>
        <w:t>:</w:t>
      </w:r>
      <w:r>
        <w:rPr>
          <w:rStyle w:val="NormalTok"/>
        </w:rPr>
        <w:t xml:space="preserve"> </w:t>
      </w:r>
      <w:r>
        <w:rPr>
          <w:rStyle w:val="FunctionTok"/>
        </w:rPr>
        <w:t>{</w:t>
      </w:r>
      <w:r>
        <w:br/>
      </w:r>
      <w:r>
        <w:rPr>
          <w:rStyle w:val="NormalTok"/>
        </w:rPr>
        <w:t xml:space="preserve">            </w:t>
      </w:r>
      <w:r>
        <w:rPr>
          <w:rStyle w:val="DataTypeTok"/>
        </w:rPr>
        <w:t>"pattern"</w:t>
      </w:r>
      <w:r>
        <w:rPr>
          <w:rStyle w:val="FunctionTok"/>
        </w:rPr>
        <w:t>:</w:t>
      </w:r>
      <w:r>
        <w:rPr>
          <w:rStyle w:val="NormalTok"/>
        </w:rPr>
        <w:t xml:space="preserve"> </w:t>
      </w:r>
      <w:r>
        <w:rPr>
          <w:rStyle w:val="StringTok"/>
        </w:rPr>
        <w:t>"(</w:t>
      </w:r>
      <w:r>
        <w:rPr>
          <w:rStyle w:val="CharTok"/>
        </w:rPr>
        <w:t>\\</w:t>
      </w:r>
      <w:r>
        <w:rPr>
          <w:rStyle w:val="StringTok"/>
        </w:rPr>
        <w:t>d{8})T(</w:t>
      </w:r>
      <w:r>
        <w:rPr>
          <w:rStyle w:val="CharTok"/>
        </w:rPr>
        <w:t>\\</w:t>
      </w:r>
      <w:r>
        <w:rPr>
          <w:rStyle w:val="StringTok"/>
        </w:rPr>
        <w:t>d{6})(Z|</w:t>
      </w:r>
      <w:r>
        <w:rPr>
          <w:rStyle w:val="CharTok"/>
        </w:rPr>
        <w:t>\\</w:t>
      </w:r>
      <w:r>
        <w:rPr>
          <w:rStyle w:val="StringTok"/>
        </w:rPr>
        <w:t>+</w:t>
      </w:r>
      <w:r>
        <w:rPr>
          <w:rStyle w:val="CharTok"/>
        </w:rPr>
        <w:t>\\</w:t>
      </w:r>
      <w:r>
        <w:rPr>
          <w:rStyle w:val="StringTok"/>
        </w:rPr>
        <w:t>d{4})?"</w:t>
      </w:r>
      <w:r>
        <w:rPr>
          <w:rStyle w:val="FunctionTok"/>
        </w:rPr>
        <w:t>,</w:t>
      </w:r>
      <w:r>
        <w:br/>
      </w:r>
      <w:r>
        <w:rPr>
          <w:rStyle w:val="NormalTok"/>
        </w:rPr>
        <w:t xml:space="preserve">            </w:t>
      </w:r>
      <w:r>
        <w:rPr>
          <w:rStyle w:val="DataTypeTok"/>
        </w:rPr>
        <w:t>"type"</w:t>
      </w:r>
      <w:r>
        <w:rPr>
          <w:rStyle w:val="FunctionTok"/>
        </w:rPr>
        <w:t>:</w:t>
      </w:r>
      <w:r>
        <w:rPr>
          <w:rStyle w:val="NormalTok"/>
        </w:rPr>
        <w:t xml:space="preserve"> </w:t>
      </w:r>
      <w:r>
        <w:rPr>
          <w:rStyle w:val="StringTok"/>
        </w:rPr>
        <w:t>"string"</w:t>
      </w:r>
      <w:r>
        <w:rPr>
          <w:rStyle w:val="FunctionTok"/>
        </w:rPr>
        <w:t>,</w:t>
      </w:r>
      <w:r>
        <w:br/>
      </w:r>
      <w:r>
        <w:rPr>
          <w:rStyle w:val="NormalTok"/>
        </w:rPr>
        <w:t xml:space="preserve">            </w:t>
      </w:r>
      <w:r>
        <w:rPr>
          <w:rStyle w:val="DataTypeTok"/>
        </w:rPr>
        <w:t>"description"</w:t>
      </w:r>
      <w:r>
        <w:rPr>
          <w:rStyle w:val="FunctionTok"/>
        </w:rPr>
        <w:t>:</w:t>
      </w:r>
      <w:r>
        <w:rPr>
          <w:rStyle w:val="NormalTok"/>
        </w:rPr>
        <w:t xml:space="preserve"> </w:t>
      </w:r>
      <w:r>
        <w:rPr>
          <w:rStyle w:val="StringTok"/>
        </w:rPr>
        <w:t>"The subscription period end"</w:t>
      </w:r>
      <w:r>
        <w:rPr>
          <w:rStyle w:val="FunctionTok"/>
        </w:rPr>
        <w:t>,</w:t>
      </w:r>
      <w:r>
        <w:br/>
      </w:r>
      <w:r>
        <w:rPr>
          <w:rStyle w:val="NormalTok"/>
        </w:rPr>
        <w:t xml:space="preserve">            </w:t>
      </w:r>
      <w:r>
        <w:rPr>
          <w:rStyle w:val="DataTypeTok"/>
        </w:rPr>
        <w:t>"example"</w:t>
      </w:r>
      <w:r>
        <w:rPr>
          <w:rStyle w:val="FunctionTok"/>
        </w:rPr>
        <w:t>:</w:t>
      </w:r>
      <w:r>
        <w:rPr>
          <w:rStyle w:val="NormalTok"/>
        </w:rPr>
        <w:t xml:space="preserve"> </w:t>
      </w:r>
      <w:r>
        <w:rPr>
          <w:rStyle w:val="StringTok"/>
        </w:rPr>
        <w:t>"19850412T101530"</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true</w:t>
      </w:r>
      <w:r>
        <w:rPr>
          <w:rStyle w:val="FunctionTok"/>
        </w:rPr>
        <w:t>,</w:t>
      </w:r>
      <w:r>
        <w:br/>
      </w:r>
      <w:r>
        <w:rPr>
          <w:rStyle w:val="NormalTok"/>
        </w:rPr>
        <w:t xml:space="preserve">            </w:t>
      </w:r>
      <w:r>
        <w:rPr>
          <w:rStyle w:val="DataTypeTok"/>
        </w:rPr>
        <w:t>"types"</w:t>
      </w:r>
      <w:r>
        <w:rPr>
          <w:rStyle w:val="FunctionTok"/>
        </w:rPr>
        <w:t>:</w:t>
      </w:r>
      <w:r>
        <w:rPr>
          <w:rStyle w:val="NormalTok"/>
        </w:rPr>
        <w:t xml:space="preserve"> </w:t>
      </w:r>
      <w:r>
        <w:rPr>
          <w:rStyle w:val="OtherTok"/>
        </w:rPr>
        <w:t>[</w:t>
      </w:r>
      <w:r>
        <w:br/>
      </w:r>
      <w:r>
        <w:rPr>
          <w:rStyle w:val="NormalTok"/>
        </w:rPr>
        <w:t xml:space="preserve">              </w:t>
      </w:r>
      <w:r>
        <w:rPr>
          <w:rStyle w:val="StringTok"/>
        </w:rPr>
        <w:t>"string"</w:t>
      </w:r>
      <w:r>
        <w:br/>
      </w:r>
      <w:r>
        <w:rPr>
          <w:rStyle w:val="NormalTok"/>
        </w:rPr>
        <w:t xml:space="preserve">            </w:t>
      </w:r>
      <w:r>
        <w:rPr>
          <w:rStyle w:val="OtherTok"/>
        </w:rPr>
        <w:t>]</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DataTypeTok"/>
        </w:rPr>
        <w:t>"</w:t>
      </w:r>
      <w:proofErr w:type="spellStart"/>
      <w:r>
        <w:rPr>
          <w:rStyle w:val="DataTypeTok"/>
        </w:rPr>
        <w:t>exampleSetFlag</w:t>
      </w:r>
      <w:proofErr w:type="spellEnd"/>
      <w:r>
        <w:rPr>
          <w:rStyle w:val="DataTypeTok"/>
        </w:rPr>
        <w:t>"</w:t>
      </w:r>
      <w:r>
        <w:rPr>
          <w:rStyle w:val="FunctionTok"/>
        </w:rPr>
        <w:t>:</w:t>
      </w:r>
      <w:r>
        <w:rPr>
          <w:rStyle w:val="NormalTok"/>
        </w:rPr>
        <w:t xml:space="preserve"> </w:t>
      </w:r>
      <w:r>
        <w:rPr>
          <w:rStyle w:val="KeywordTok"/>
        </w:rPr>
        <w:t>false</w:t>
      </w:r>
      <w:r>
        <w:br/>
      </w:r>
      <w:r>
        <w:rPr>
          <w:rStyle w:val="NormalTok"/>
        </w:rPr>
        <w:t xml:space="preserve">      </w:t>
      </w:r>
      <w:r>
        <w:rPr>
          <w:rStyle w:val="FunctionTok"/>
        </w:rPr>
        <w:t>}</w:t>
      </w:r>
      <w:r>
        <w:br/>
      </w:r>
      <w:r>
        <w:rPr>
          <w:rStyle w:val="NormalTok"/>
        </w:rPr>
        <w:t xml:space="preserve">    </w:t>
      </w:r>
      <w:r>
        <w:rPr>
          <w:rStyle w:val="FunctionTok"/>
        </w:rPr>
        <w:t>}</w:t>
      </w:r>
      <w:r>
        <w:br/>
      </w:r>
      <w:r>
        <w:rPr>
          <w:rStyle w:val="NormalTok"/>
        </w:rPr>
        <w:t xml:space="preserve">  </w:t>
      </w:r>
      <w:r>
        <w:rPr>
          <w:rStyle w:val="FunctionTok"/>
        </w:rPr>
        <w:t>}</w:t>
      </w:r>
      <w:r>
        <w:br/>
      </w:r>
      <w:r>
        <w:rPr>
          <w:rStyle w:val="FunctionTok"/>
        </w:rPr>
        <w:t>}</w:t>
      </w:r>
    </w:p>
    <w:p w14:paraId="72D53B44" w14:textId="77777777" w:rsidR="00753DEE" w:rsidRDefault="00F02DE0">
      <w:r>
        <w:br w:type="page"/>
      </w:r>
    </w:p>
    <w:p w14:paraId="794F9BAC" w14:textId="77777777" w:rsidR="00753DEE" w:rsidRDefault="00F02DE0">
      <w:pPr>
        <w:pStyle w:val="Heading1"/>
      </w:pPr>
      <w:bookmarkStart w:id="146" w:name="_Toc225155493"/>
      <w:bookmarkStart w:id="147" w:name="sec:g1128-instance-desc"/>
      <w:bookmarkEnd w:id="145"/>
      <w:r>
        <w:lastRenderedPageBreak/>
        <w:t>Annex B. G1128 Instance Description XML Template</w:t>
      </w:r>
      <w:bookmarkEnd w:id="146"/>
    </w:p>
    <w:p w14:paraId="7E13FBC2" w14:textId="77777777" w:rsidR="00753DEE" w:rsidRDefault="00F02DE0">
      <w:pPr>
        <w:pStyle w:val="SourceCode"/>
      </w:pPr>
      <w:r>
        <w:rPr>
          <w:rStyle w:val="FunctionTok"/>
        </w:rPr>
        <w:t>&lt;?xml</w:t>
      </w:r>
      <w:r>
        <w:rPr>
          <w:rStyle w:val="OtherTok"/>
        </w:rPr>
        <w:t xml:space="preserve"> version=</w:t>
      </w:r>
      <w:r>
        <w:rPr>
          <w:rStyle w:val="StringTok"/>
        </w:rPr>
        <w:t>"1.0"</w:t>
      </w:r>
      <w:r>
        <w:rPr>
          <w:rStyle w:val="OtherTok"/>
        </w:rPr>
        <w:t xml:space="preserve"> encoding=</w:t>
      </w:r>
      <w:r>
        <w:rPr>
          <w:rStyle w:val="StringTok"/>
        </w:rPr>
        <w:t>"UTF-8"</w:t>
      </w:r>
      <w:r>
        <w:rPr>
          <w:rStyle w:val="OtherTok"/>
        </w:rPr>
        <w:t xml:space="preserve"> standalone=</w:t>
      </w:r>
      <w:r>
        <w:rPr>
          <w:rStyle w:val="StringTok"/>
        </w:rPr>
        <w:t>"yes"</w:t>
      </w:r>
      <w:r>
        <w:rPr>
          <w:rStyle w:val="FunctionTok"/>
        </w:rPr>
        <w:t>?&gt;</w:t>
      </w:r>
      <w:r>
        <w:br/>
      </w:r>
      <w:r>
        <w:rPr>
          <w:rStyle w:val="NormalTok"/>
        </w:rPr>
        <w:t>&lt;</w:t>
      </w:r>
      <w:proofErr w:type="spellStart"/>
      <w:r>
        <w:rPr>
          <w:rStyle w:val="KeywordTok"/>
        </w:rPr>
        <w:t>serviceInstance</w:t>
      </w:r>
      <w:proofErr w:type="spellEnd"/>
      <w:r>
        <w:br/>
      </w:r>
      <w:r>
        <w:rPr>
          <w:rStyle w:val="OtherTok"/>
        </w:rPr>
        <w:t xml:space="preserve">  xmlns=</w:t>
      </w:r>
      <w:r>
        <w:rPr>
          <w:rStyle w:val="StringTok"/>
        </w:rPr>
        <w:t>"http://iala-aism.org/g1128/v1.6/ServiceInstanceSchema.xsd"</w:t>
      </w:r>
      <w:r>
        <w:br/>
      </w:r>
      <w:r>
        <w:rPr>
          <w:rStyle w:val="OtherTok"/>
        </w:rPr>
        <w:t xml:space="preserve">  xmlns:ns2=</w:t>
      </w:r>
      <w:r>
        <w:rPr>
          <w:rStyle w:val="StringTok"/>
        </w:rPr>
        <w:t>"http://iala-aism.org/g1128/v1.6/ServiceSpecificationSchema.xsd"</w:t>
      </w:r>
      <w:r>
        <w:rPr>
          <w:rStyle w:val="NormalTok"/>
        </w:rPr>
        <w:t>&gt;</w:t>
      </w:r>
      <w:r>
        <w:br/>
      </w:r>
      <w:r>
        <w:rPr>
          <w:rStyle w:val="NormalTok"/>
        </w:rPr>
        <w:t xml:space="preserve">    &lt;</w:t>
      </w:r>
      <w:r>
        <w:rPr>
          <w:rStyle w:val="KeywordTok"/>
        </w:rPr>
        <w:t>id</w:t>
      </w:r>
      <w:r>
        <w:rPr>
          <w:rStyle w:val="NormalTok"/>
        </w:rPr>
        <w:t>&gt;</w:t>
      </w:r>
      <w:proofErr w:type="spellStart"/>
      <w:r>
        <w:rPr>
          <w:rStyle w:val="NormalTok"/>
        </w:rPr>
        <w:t>urn:mrn:mcp:service:mcc:grad:instance:aton-service</w:t>
      </w:r>
      <w:proofErr w:type="spellEnd"/>
      <w:r>
        <w:rPr>
          <w:rStyle w:val="NormalTok"/>
        </w:rPr>
        <w:t>&lt;/</w:t>
      </w:r>
      <w:r>
        <w:rPr>
          <w:rStyle w:val="KeywordTok"/>
        </w:rPr>
        <w:t>id</w:t>
      </w:r>
      <w:r>
        <w:rPr>
          <w:rStyle w:val="NormalTok"/>
        </w:rPr>
        <w:t>&gt;</w:t>
      </w:r>
      <w:r>
        <w:br/>
      </w:r>
      <w:r>
        <w:rPr>
          <w:rStyle w:val="NormalTok"/>
        </w:rPr>
        <w:t xml:space="preserve">    &lt;</w:t>
      </w:r>
      <w:r>
        <w:rPr>
          <w:rStyle w:val="KeywordTok"/>
        </w:rPr>
        <w:t>version</w:t>
      </w:r>
      <w:r>
        <w:rPr>
          <w:rStyle w:val="NormalTok"/>
        </w:rPr>
        <w:t>&gt;0.0.1&lt;/</w:t>
      </w:r>
      <w:r>
        <w:rPr>
          <w:rStyle w:val="KeywordTok"/>
        </w:rPr>
        <w:t>version</w:t>
      </w:r>
      <w:r>
        <w:rPr>
          <w:rStyle w:val="NormalTok"/>
        </w:rPr>
        <w:t>&gt;</w:t>
      </w:r>
      <w:r>
        <w:br/>
      </w:r>
      <w:r>
        <w:rPr>
          <w:rStyle w:val="NormalTok"/>
        </w:rPr>
        <w:t xml:space="preserve">    &lt;</w:t>
      </w:r>
      <w:r>
        <w:rPr>
          <w:rStyle w:val="KeywordTok"/>
        </w:rPr>
        <w:t>name</w:t>
      </w:r>
      <w:r>
        <w:rPr>
          <w:rStyle w:val="NormalTok"/>
        </w:rPr>
        <w:t xml:space="preserve">&gt;Test </w:t>
      </w:r>
      <w:proofErr w:type="spellStart"/>
      <w:r>
        <w:rPr>
          <w:rStyle w:val="NormalTok"/>
        </w:rPr>
        <w:t>AtoN</w:t>
      </w:r>
      <w:proofErr w:type="spellEnd"/>
      <w:r>
        <w:rPr>
          <w:rStyle w:val="NormalTok"/>
        </w:rPr>
        <w:t xml:space="preserve"> Service&lt;/</w:t>
      </w:r>
      <w:r>
        <w:rPr>
          <w:rStyle w:val="KeywordTok"/>
        </w:rPr>
        <w:t>name</w:t>
      </w:r>
      <w:r>
        <w:rPr>
          <w:rStyle w:val="NormalTok"/>
        </w:rPr>
        <w:t>&gt;</w:t>
      </w:r>
      <w:r>
        <w:br/>
      </w:r>
      <w:r>
        <w:rPr>
          <w:rStyle w:val="NormalTok"/>
        </w:rPr>
        <w:t xml:space="preserve">    &lt;</w:t>
      </w:r>
      <w:r>
        <w:rPr>
          <w:rStyle w:val="KeywordTok"/>
        </w:rPr>
        <w:t>status</w:t>
      </w:r>
      <w:r>
        <w:rPr>
          <w:rStyle w:val="NormalTok"/>
        </w:rPr>
        <w:t>&gt;provisional&lt;/</w:t>
      </w:r>
      <w:r>
        <w:rPr>
          <w:rStyle w:val="KeywordTok"/>
        </w:rPr>
        <w:t>status</w:t>
      </w:r>
      <w:r>
        <w:rPr>
          <w:rStyle w:val="NormalTok"/>
        </w:rPr>
        <w:t>&gt;</w:t>
      </w:r>
      <w:r>
        <w:br/>
      </w:r>
      <w:r>
        <w:rPr>
          <w:rStyle w:val="NormalTok"/>
        </w:rPr>
        <w:t xml:space="preserve">    &lt;</w:t>
      </w:r>
      <w:r>
        <w:rPr>
          <w:rStyle w:val="KeywordTok"/>
        </w:rPr>
        <w:t>description</w:t>
      </w:r>
      <w:r>
        <w:rPr>
          <w:rStyle w:val="NormalTok"/>
        </w:rPr>
        <w:t>&gt;An example of a G1128 instance description XML&lt;/</w:t>
      </w:r>
      <w:r>
        <w:rPr>
          <w:rStyle w:val="KeywordTok"/>
        </w:rPr>
        <w:t>description</w:t>
      </w:r>
      <w:r>
        <w:rPr>
          <w:rStyle w:val="NormalTok"/>
        </w:rPr>
        <w:t>&gt;</w:t>
      </w:r>
      <w:r>
        <w:br/>
      </w:r>
      <w:r>
        <w:rPr>
          <w:rStyle w:val="NormalTok"/>
        </w:rPr>
        <w:t xml:space="preserve">    &lt;</w:t>
      </w:r>
      <w:r>
        <w:rPr>
          <w:rStyle w:val="KeywordTok"/>
        </w:rPr>
        <w:t>keywords</w:t>
      </w:r>
      <w:r>
        <w:rPr>
          <w:rStyle w:val="NormalTok"/>
        </w:rPr>
        <w:t>&gt;</w:t>
      </w:r>
      <w:proofErr w:type="spellStart"/>
      <w:r>
        <w:rPr>
          <w:rStyle w:val="NormalTok"/>
        </w:rPr>
        <w:t>aton</w:t>
      </w:r>
      <w:proofErr w:type="spellEnd"/>
      <w:r>
        <w:rPr>
          <w:rStyle w:val="NormalTok"/>
        </w:rPr>
        <w:t xml:space="preserve"> service g1128 example&lt;/</w:t>
      </w:r>
      <w:r>
        <w:rPr>
          <w:rStyle w:val="KeywordTok"/>
        </w:rPr>
        <w:t>keywords</w:t>
      </w:r>
      <w:r>
        <w:rPr>
          <w:rStyle w:val="NormalTok"/>
        </w:rPr>
        <w:t>&gt;</w:t>
      </w:r>
      <w:r>
        <w:br/>
      </w:r>
      <w:r>
        <w:rPr>
          <w:rStyle w:val="NormalTok"/>
        </w:rPr>
        <w:t xml:space="preserve">    &lt;</w:t>
      </w:r>
      <w:r>
        <w:rPr>
          <w:rStyle w:val="KeywordTok"/>
        </w:rPr>
        <w:t>en</w:t>
      </w:r>
      <w:r>
        <w:rPr>
          <w:rStyle w:val="KeywordTok"/>
        </w:rPr>
        <w:t>dpoint</w:t>
      </w:r>
      <w:r>
        <w:rPr>
          <w:rStyle w:val="NormalTok"/>
        </w:rPr>
        <w:t>&gt;https://localhost:8443/api/secom&lt;/</w:t>
      </w:r>
      <w:r>
        <w:rPr>
          <w:rStyle w:val="KeywordTok"/>
        </w:rPr>
        <w:t>endpoint</w:t>
      </w:r>
      <w:r>
        <w:rPr>
          <w:rStyle w:val="NormalTok"/>
        </w:rPr>
        <w:t>&gt;</w:t>
      </w:r>
      <w:r>
        <w:br/>
      </w:r>
      <w:r>
        <w:rPr>
          <w:rStyle w:val="NormalTok"/>
        </w:rPr>
        <w:t xml:space="preserve">    &lt;</w:t>
      </w:r>
      <w:proofErr w:type="spellStart"/>
      <w:r>
        <w:rPr>
          <w:rStyle w:val="KeywordTok"/>
        </w:rPr>
        <w:t>serviceType</w:t>
      </w:r>
      <w:proofErr w:type="spellEnd"/>
      <w:r>
        <w:rPr>
          <w:rStyle w:val="NormalTok"/>
        </w:rPr>
        <w:t>&gt;</w:t>
      </w:r>
      <w:proofErr w:type="spellStart"/>
      <w:r>
        <w:rPr>
          <w:rStyle w:val="NormalTok"/>
        </w:rPr>
        <w:t>other:atonservice</w:t>
      </w:r>
      <w:proofErr w:type="spellEnd"/>
      <w:r>
        <w:rPr>
          <w:rStyle w:val="NormalTok"/>
        </w:rPr>
        <w:t>&lt;/</w:t>
      </w:r>
      <w:proofErr w:type="spellStart"/>
      <w:r>
        <w:rPr>
          <w:rStyle w:val="KeywordTok"/>
        </w:rPr>
        <w:t>serviceType</w:t>
      </w:r>
      <w:proofErr w:type="spellEnd"/>
      <w:r>
        <w:rPr>
          <w:rStyle w:val="NormalTok"/>
        </w:rPr>
        <w:t>&gt;</w:t>
      </w:r>
      <w:r>
        <w:br/>
      </w:r>
      <w:r>
        <w:rPr>
          <w:rStyle w:val="NormalTok"/>
        </w:rPr>
        <w:t xml:space="preserve">    &lt;</w:t>
      </w:r>
      <w:proofErr w:type="spellStart"/>
      <w:r>
        <w:rPr>
          <w:rStyle w:val="KeywordTok"/>
        </w:rPr>
        <w:t>requiresAuthorization</w:t>
      </w:r>
      <w:proofErr w:type="spellEnd"/>
      <w:r>
        <w:rPr>
          <w:rStyle w:val="NormalTok"/>
        </w:rPr>
        <w:t>&gt;true&lt;/</w:t>
      </w:r>
      <w:proofErr w:type="spellStart"/>
      <w:r>
        <w:rPr>
          <w:rStyle w:val="KeywordTok"/>
        </w:rPr>
        <w:t>requiresAuthorization</w:t>
      </w:r>
      <w:proofErr w:type="spellEnd"/>
      <w:r>
        <w:rPr>
          <w:rStyle w:val="NormalTok"/>
        </w:rPr>
        <w:t>&gt;</w:t>
      </w:r>
      <w:r>
        <w:br/>
      </w:r>
      <w:r>
        <w:rPr>
          <w:rStyle w:val="NormalTok"/>
        </w:rPr>
        <w:t xml:space="preserve">    &lt;</w:t>
      </w:r>
      <w:proofErr w:type="spellStart"/>
      <w:r>
        <w:rPr>
          <w:rStyle w:val="KeywordTok"/>
        </w:rPr>
        <w:t>offersServiceLevel</w:t>
      </w:r>
      <w:proofErr w:type="spellEnd"/>
      <w:r>
        <w:rPr>
          <w:rStyle w:val="NormalTok"/>
        </w:rPr>
        <w:t>&gt;</w:t>
      </w:r>
      <w:r>
        <w:br/>
      </w:r>
      <w:r>
        <w:rPr>
          <w:rStyle w:val="NormalTok"/>
        </w:rPr>
        <w:t xml:space="preserve">        &lt;</w:t>
      </w:r>
      <w:r>
        <w:rPr>
          <w:rStyle w:val="KeywordTok"/>
        </w:rPr>
        <w:t>availability</w:t>
      </w:r>
      <w:r>
        <w:rPr>
          <w:rStyle w:val="NormalTok"/>
        </w:rPr>
        <w:t>&gt;0.0&lt;/</w:t>
      </w:r>
      <w:r>
        <w:rPr>
          <w:rStyle w:val="KeywordTok"/>
        </w:rPr>
        <w:t>availability</w:t>
      </w:r>
      <w:r>
        <w:rPr>
          <w:rStyle w:val="NormalTok"/>
        </w:rPr>
        <w:t>&gt;</w:t>
      </w:r>
      <w:r>
        <w:br/>
      </w:r>
      <w:r>
        <w:rPr>
          <w:rStyle w:val="NormalTok"/>
        </w:rPr>
        <w:t xml:space="preserve">        &lt;</w:t>
      </w:r>
      <w:r>
        <w:rPr>
          <w:rStyle w:val="KeywordTok"/>
        </w:rPr>
        <w:t>name</w:t>
      </w:r>
      <w:r>
        <w:rPr>
          <w:rStyle w:val="NormalTok"/>
        </w:rPr>
        <w:t>&gt;Development&lt;/</w:t>
      </w:r>
      <w:r>
        <w:rPr>
          <w:rStyle w:val="KeywordTok"/>
        </w:rPr>
        <w:t>name</w:t>
      </w:r>
      <w:r>
        <w:rPr>
          <w:rStyle w:val="NormalTok"/>
        </w:rPr>
        <w:t>&gt;</w:t>
      </w:r>
      <w:r>
        <w:br/>
      </w:r>
      <w:r>
        <w:rPr>
          <w:rStyle w:val="NormalTok"/>
        </w:rPr>
        <w:t xml:space="preserve">        &lt;</w:t>
      </w:r>
      <w:r>
        <w:rPr>
          <w:rStyle w:val="KeywordTok"/>
        </w:rPr>
        <w:t>description</w:t>
      </w:r>
      <w:r>
        <w:rPr>
          <w:rStyle w:val="NormalTok"/>
        </w:rPr>
        <w:t>&gt;This service implementation is under active development, 0% availability is guaranteed.&lt;/</w:t>
      </w:r>
      <w:r>
        <w:rPr>
          <w:rStyle w:val="KeywordTok"/>
        </w:rPr>
        <w:t>description</w:t>
      </w:r>
      <w:r>
        <w:rPr>
          <w:rStyle w:val="NormalTok"/>
        </w:rPr>
        <w:t>&gt;</w:t>
      </w:r>
      <w:r>
        <w:br/>
      </w:r>
      <w:r>
        <w:rPr>
          <w:rStyle w:val="NormalTok"/>
        </w:rPr>
        <w:t xml:space="preserve">    &lt;/</w:t>
      </w:r>
      <w:proofErr w:type="spellStart"/>
      <w:r>
        <w:rPr>
          <w:rStyle w:val="KeywordTok"/>
        </w:rPr>
        <w:t>offersServiceLevel</w:t>
      </w:r>
      <w:proofErr w:type="spellEnd"/>
      <w:r>
        <w:rPr>
          <w:rStyle w:val="NormalTok"/>
        </w:rPr>
        <w:t>&gt;</w:t>
      </w:r>
      <w:r>
        <w:br/>
      </w:r>
      <w:r>
        <w:rPr>
          <w:rStyle w:val="NormalTok"/>
        </w:rPr>
        <w:t xml:space="preserve">    &lt;</w:t>
      </w:r>
      <w:proofErr w:type="spellStart"/>
      <w:r>
        <w:rPr>
          <w:rStyle w:val="KeywordTok"/>
        </w:rPr>
        <w:t>coversAreas</w:t>
      </w:r>
      <w:proofErr w:type="spellEnd"/>
      <w:r>
        <w:rPr>
          <w:rStyle w:val="NormalTok"/>
        </w:rPr>
        <w:t>&gt;</w:t>
      </w:r>
      <w:r>
        <w:br/>
      </w:r>
      <w:r>
        <w:rPr>
          <w:rStyle w:val="NormalTok"/>
        </w:rPr>
        <w:t xml:space="preserve">        &lt;</w:t>
      </w:r>
      <w:proofErr w:type="spellStart"/>
      <w:r>
        <w:rPr>
          <w:rStyle w:val="KeywordTok"/>
        </w:rPr>
        <w:t>coversArea</w:t>
      </w:r>
      <w:proofErr w:type="spellEnd"/>
      <w:r>
        <w:rPr>
          <w:rStyle w:val="NormalTok"/>
        </w:rPr>
        <w:t>&gt;</w:t>
      </w:r>
      <w:r>
        <w:br/>
      </w:r>
      <w:r>
        <w:rPr>
          <w:rStyle w:val="NormalTok"/>
        </w:rPr>
        <w:t xml:space="preserve">            &lt;</w:t>
      </w:r>
      <w:r>
        <w:rPr>
          <w:rStyle w:val="KeywordTok"/>
        </w:rPr>
        <w:t>name</w:t>
      </w:r>
      <w:r>
        <w:rPr>
          <w:rStyle w:val="NormalTok"/>
        </w:rPr>
        <w:t>&gt;Example&lt;/</w:t>
      </w:r>
      <w:r>
        <w:rPr>
          <w:rStyle w:val="KeywordTok"/>
        </w:rPr>
        <w:t>name</w:t>
      </w:r>
      <w:r>
        <w:rPr>
          <w:rStyle w:val="NormalTok"/>
        </w:rPr>
        <w:t>&gt;</w:t>
      </w:r>
      <w:r>
        <w:br/>
      </w:r>
      <w:r>
        <w:rPr>
          <w:rStyle w:val="NormalTok"/>
        </w:rPr>
        <w:t xml:space="preserve">            &lt;</w:t>
      </w:r>
      <w:r>
        <w:rPr>
          <w:rStyle w:val="KeywordTok"/>
        </w:rPr>
        <w:t>description</w:t>
      </w:r>
      <w:r>
        <w:rPr>
          <w:rStyle w:val="NormalTok"/>
        </w:rPr>
        <w:t>&gt;Description on the example area&lt;/</w:t>
      </w:r>
      <w:r>
        <w:rPr>
          <w:rStyle w:val="KeywordTok"/>
        </w:rPr>
        <w:t>description</w:t>
      </w:r>
      <w:r>
        <w:rPr>
          <w:rStyle w:val="NormalTok"/>
        </w:rPr>
        <w:t>&gt;</w:t>
      </w:r>
      <w:r>
        <w:br/>
      </w:r>
      <w:r>
        <w:rPr>
          <w:rStyle w:val="NormalTok"/>
        </w:rPr>
        <w:t xml:space="preserve">            &lt;</w:t>
      </w:r>
      <w:proofErr w:type="spellStart"/>
      <w:r>
        <w:rPr>
          <w:rStyle w:val="KeywordTok"/>
        </w:rPr>
        <w:t>geometryAsWKT</w:t>
      </w:r>
      <w:proofErr w:type="spellEnd"/>
      <w:r>
        <w:rPr>
          <w:rStyle w:val="NormalTok"/>
        </w:rPr>
        <w:t>&gt;POLYGON ((0.0 0.0, 0.0 1.1, 1.1 1,1, 1.1 0.</w:t>
      </w:r>
      <w:r>
        <w:rPr>
          <w:rStyle w:val="NormalTok"/>
        </w:rPr>
        <w:t>0 ))&lt;/</w:t>
      </w:r>
      <w:proofErr w:type="spellStart"/>
      <w:r>
        <w:rPr>
          <w:rStyle w:val="KeywordTok"/>
        </w:rPr>
        <w:t>geometryAsWKT</w:t>
      </w:r>
      <w:proofErr w:type="spellEnd"/>
      <w:r>
        <w:rPr>
          <w:rStyle w:val="NormalTok"/>
        </w:rPr>
        <w:t>&gt;</w:t>
      </w:r>
      <w:r>
        <w:br/>
      </w:r>
      <w:r>
        <w:rPr>
          <w:rStyle w:val="NormalTok"/>
        </w:rPr>
        <w:t xml:space="preserve">        &lt;/</w:t>
      </w:r>
      <w:proofErr w:type="spellStart"/>
      <w:r>
        <w:rPr>
          <w:rStyle w:val="KeywordTok"/>
        </w:rPr>
        <w:t>coversArea</w:t>
      </w:r>
      <w:proofErr w:type="spellEnd"/>
      <w:r>
        <w:rPr>
          <w:rStyle w:val="NormalTok"/>
        </w:rPr>
        <w:t>&gt;</w:t>
      </w:r>
      <w:r>
        <w:br/>
      </w:r>
      <w:r>
        <w:rPr>
          <w:rStyle w:val="NormalTok"/>
        </w:rPr>
        <w:t xml:space="preserve">    &lt;/</w:t>
      </w:r>
      <w:proofErr w:type="spellStart"/>
      <w:r>
        <w:rPr>
          <w:rStyle w:val="KeywordTok"/>
        </w:rPr>
        <w:t>coversAreas</w:t>
      </w:r>
      <w:proofErr w:type="spellEnd"/>
      <w:r>
        <w:rPr>
          <w:rStyle w:val="NormalTok"/>
        </w:rPr>
        <w:t>&gt;</w:t>
      </w:r>
      <w:r>
        <w:br/>
      </w:r>
      <w:r>
        <w:rPr>
          <w:rStyle w:val="NormalTok"/>
        </w:rPr>
        <w:t xml:space="preserve">    &lt;</w:t>
      </w:r>
      <w:proofErr w:type="spellStart"/>
      <w:r>
        <w:rPr>
          <w:rStyle w:val="KeywordTok"/>
        </w:rPr>
        <w:t>implementsServiceDesign</w:t>
      </w:r>
      <w:proofErr w:type="spellEnd"/>
      <w:r>
        <w:rPr>
          <w:rStyle w:val="NormalTok"/>
        </w:rPr>
        <w:t>&gt;</w:t>
      </w:r>
      <w:r>
        <w:br/>
      </w:r>
      <w:r>
        <w:rPr>
          <w:rStyle w:val="NormalTok"/>
        </w:rPr>
        <w:t xml:space="preserve">        &lt;</w:t>
      </w:r>
      <w:r>
        <w:rPr>
          <w:rStyle w:val="KeywordTok"/>
        </w:rPr>
        <w:t>id</w:t>
      </w:r>
      <w:r>
        <w:rPr>
          <w:rStyle w:val="NormalTok"/>
        </w:rPr>
        <w:t>&gt;urn:mrn:iala:si:atonservice:0.0.1&lt;/</w:t>
      </w:r>
      <w:r>
        <w:rPr>
          <w:rStyle w:val="KeywordTok"/>
        </w:rPr>
        <w:t>id</w:t>
      </w:r>
      <w:r>
        <w:rPr>
          <w:rStyle w:val="NormalTok"/>
        </w:rPr>
        <w:t>&gt;</w:t>
      </w:r>
      <w:r>
        <w:br/>
      </w:r>
      <w:r>
        <w:rPr>
          <w:rStyle w:val="NormalTok"/>
        </w:rPr>
        <w:t xml:space="preserve">        &lt;</w:t>
      </w:r>
      <w:r>
        <w:rPr>
          <w:rStyle w:val="KeywordTok"/>
        </w:rPr>
        <w:t>version</w:t>
      </w:r>
      <w:r>
        <w:rPr>
          <w:rStyle w:val="NormalTok"/>
        </w:rPr>
        <w:t>&gt;0.0.0&lt;/</w:t>
      </w:r>
      <w:r>
        <w:rPr>
          <w:rStyle w:val="KeywordTok"/>
        </w:rPr>
        <w:t>version</w:t>
      </w:r>
      <w:r>
        <w:rPr>
          <w:rStyle w:val="NormalTok"/>
        </w:rPr>
        <w:t>&gt;</w:t>
      </w:r>
      <w:r>
        <w:br/>
      </w:r>
      <w:r>
        <w:rPr>
          <w:rStyle w:val="NormalTok"/>
        </w:rPr>
        <w:t xml:space="preserve">    &lt;/</w:t>
      </w:r>
      <w:proofErr w:type="spellStart"/>
      <w:r>
        <w:rPr>
          <w:rStyle w:val="KeywordTok"/>
        </w:rPr>
        <w:t>implementsServiceDesign</w:t>
      </w:r>
      <w:proofErr w:type="spellEnd"/>
      <w:r>
        <w:rPr>
          <w:rStyle w:val="NormalTok"/>
        </w:rPr>
        <w:t>&gt;</w:t>
      </w:r>
      <w:r>
        <w:br/>
      </w:r>
      <w:r>
        <w:rPr>
          <w:rStyle w:val="NormalTok"/>
        </w:rPr>
        <w:t xml:space="preserve">    &lt;</w:t>
      </w:r>
      <w:proofErr w:type="spellStart"/>
      <w:r>
        <w:rPr>
          <w:rStyle w:val="KeywordTok"/>
        </w:rPr>
        <w:t>producedBy</w:t>
      </w:r>
      <w:proofErr w:type="spellEnd"/>
      <w:r>
        <w:rPr>
          <w:rStyle w:val="NormalTok"/>
        </w:rPr>
        <w:t>&gt;</w:t>
      </w:r>
      <w:r>
        <w:br/>
      </w:r>
      <w:r>
        <w:rPr>
          <w:rStyle w:val="NormalTok"/>
        </w:rPr>
        <w:t xml:space="preserve">        &lt;</w:t>
      </w:r>
      <w:r>
        <w:rPr>
          <w:rStyle w:val="KeywordTok"/>
        </w:rPr>
        <w:t>ns2:id</w:t>
      </w:r>
      <w:r>
        <w:rPr>
          <w:rStyle w:val="NormalTok"/>
        </w:rPr>
        <w:t>&gt;</w:t>
      </w:r>
      <w:proofErr w:type="spellStart"/>
      <w:r>
        <w:rPr>
          <w:rStyle w:val="NormalTok"/>
        </w:rPr>
        <w:t>urn:mrn:iala</w:t>
      </w:r>
      <w:proofErr w:type="spellEnd"/>
      <w:r>
        <w:rPr>
          <w:rStyle w:val="NormalTok"/>
        </w:rPr>
        <w:t>&lt;/</w:t>
      </w:r>
      <w:r>
        <w:rPr>
          <w:rStyle w:val="KeywordTok"/>
        </w:rPr>
        <w:t>ns2:id</w:t>
      </w:r>
      <w:r>
        <w:rPr>
          <w:rStyle w:val="NormalTok"/>
        </w:rPr>
        <w:t>&gt;</w:t>
      </w:r>
      <w:r>
        <w:br/>
      </w:r>
      <w:r>
        <w:rPr>
          <w:rStyle w:val="NormalTok"/>
        </w:rPr>
        <w:t xml:space="preserve">        &lt;</w:t>
      </w:r>
      <w:r>
        <w:rPr>
          <w:rStyle w:val="KeywordTok"/>
        </w:rPr>
        <w:t>ns2:name</w:t>
      </w:r>
      <w:r>
        <w:rPr>
          <w:rStyle w:val="NormalTok"/>
        </w:rPr>
        <w:t>&gt;IALA&lt;/</w:t>
      </w:r>
      <w:r>
        <w:rPr>
          <w:rStyle w:val="KeywordTok"/>
        </w:rPr>
        <w:t>ns2:name</w:t>
      </w:r>
      <w:r>
        <w:rPr>
          <w:rStyle w:val="NormalTok"/>
        </w:rPr>
        <w:t>&gt;</w:t>
      </w:r>
      <w:r>
        <w:br/>
      </w:r>
      <w:r>
        <w:rPr>
          <w:rStyle w:val="NormalTok"/>
        </w:rPr>
        <w:t xml:space="preserve">        &lt;</w:t>
      </w:r>
      <w:r>
        <w:rPr>
          <w:rStyle w:val="KeywordTok"/>
        </w:rPr>
        <w:t>ns2:description</w:t>
      </w:r>
      <w:r>
        <w:rPr>
          <w:rStyle w:val="NormalTok"/>
        </w:rPr>
        <w:t>&gt;International Organization of Marine Aids to Navigation&lt;/</w:t>
      </w:r>
      <w:r>
        <w:rPr>
          <w:rStyle w:val="KeywordTok"/>
        </w:rPr>
        <w:t>ns2:description</w:t>
      </w:r>
      <w:r>
        <w:rPr>
          <w:rStyle w:val="NormalTok"/>
        </w:rPr>
        <w:t>&gt;</w:t>
      </w:r>
      <w:r>
        <w:br/>
      </w:r>
      <w:r>
        <w:rPr>
          <w:rStyle w:val="NormalTok"/>
        </w:rPr>
        <w:t xml:space="preserve">        &lt;</w:t>
      </w:r>
      <w:r>
        <w:rPr>
          <w:rStyle w:val="KeywordTok"/>
        </w:rPr>
        <w:t>ns2:contactInfo</w:t>
      </w:r>
      <w:r>
        <w:rPr>
          <w:rStyle w:val="NormalTok"/>
        </w:rPr>
        <w:t>&gt;https://www.iala.int/&lt;/</w:t>
      </w:r>
      <w:r>
        <w:rPr>
          <w:rStyle w:val="KeywordTok"/>
        </w:rPr>
        <w:t>ns2:contactInfo</w:t>
      </w:r>
      <w:r>
        <w:rPr>
          <w:rStyle w:val="NormalTok"/>
        </w:rPr>
        <w:t>&gt;</w:t>
      </w:r>
      <w:r>
        <w:br/>
      </w:r>
      <w:r>
        <w:rPr>
          <w:rStyle w:val="NormalTok"/>
        </w:rPr>
        <w:t xml:space="preserve">        &lt;</w:t>
      </w:r>
      <w:r>
        <w:rPr>
          <w:rStyle w:val="KeywordTok"/>
        </w:rPr>
        <w:t>ns2:isCommercial</w:t>
      </w:r>
      <w:r>
        <w:rPr>
          <w:rStyle w:val="NormalTok"/>
        </w:rPr>
        <w:t>&gt;false&lt;/</w:t>
      </w:r>
      <w:r>
        <w:rPr>
          <w:rStyle w:val="KeywordTok"/>
        </w:rPr>
        <w:t>ns2:isCommercial</w:t>
      </w:r>
      <w:r>
        <w:rPr>
          <w:rStyle w:val="NormalTok"/>
        </w:rPr>
        <w:t>&gt;</w:t>
      </w:r>
      <w:r>
        <w:br/>
      </w:r>
      <w:r>
        <w:rPr>
          <w:rStyle w:val="NormalTok"/>
        </w:rPr>
        <w:t xml:space="preserve">    &lt;/</w:t>
      </w:r>
      <w:proofErr w:type="spellStart"/>
      <w:r>
        <w:rPr>
          <w:rStyle w:val="KeywordTok"/>
        </w:rPr>
        <w:t>producedBy</w:t>
      </w:r>
      <w:proofErr w:type="spellEnd"/>
      <w:r>
        <w:rPr>
          <w:rStyle w:val="NormalTok"/>
        </w:rPr>
        <w:t>&gt;</w:t>
      </w:r>
      <w:r>
        <w:br/>
      </w:r>
      <w:r>
        <w:rPr>
          <w:rStyle w:val="NormalTok"/>
        </w:rPr>
        <w:t xml:space="preserve">    &lt;</w:t>
      </w:r>
      <w:proofErr w:type="spellStart"/>
      <w:r>
        <w:rPr>
          <w:rStyle w:val="KeywordTok"/>
        </w:rPr>
        <w:t>providedBy</w:t>
      </w:r>
      <w:proofErr w:type="spellEnd"/>
      <w:r>
        <w:rPr>
          <w:rStyle w:val="NormalTok"/>
        </w:rPr>
        <w:t>&gt;</w:t>
      </w:r>
      <w:r>
        <w:br/>
      </w:r>
      <w:r>
        <w:rPr>
          <w:rStyle w:val="NormalTok"/>
        </w:rPr>
        <w:t xml:space="preserve">        &lt;</w:t>
      </w:r>
      <w:r>
        <w:rPr>
          <w:rStyle w:val="KeywordTok"/>
        </w:rPr>
        <w:t>ns2:id</w:t>
      </w:r>
      <w:r>
        <w:rPr>
          <w:rStyle w:val="NormalTok"/>
        </w:rPr>
        <w:t>&gt;</w:t>
      </w:r>
      <w:proofErr w:type="spellStart"/>
      <w:r>
        <w:rPr>
          <w:rStyle w:val="NormalTok"/>
        </w:rPr>
        <w:t>urn:mrn:iala</w:t>
      </w:r>
      <w:proofErr w:type="spellEnd"/>
      <w:r>
        <w:rPr>
          <w:rStyle w:val="NormalTok"/>
        </w:rPr>
        <w:t>&lt;/</w:t>
      </w:r>
      <w:r>
        <w:rPr>
          <w:rStyle w:val="KeywordTok"/>
        </w:rPr>
        <w:t>ns2:id</w:t>
      </w:r>
      <w:r>
        <w:rPr>
          <w:rStyle w:val="NormalTok"/>
        </w:rPr>
        <w:t>&gt;</w:t>
      </w:r>
      <w:r>
        <w:br/>
      </w:r>
      <w:r>
        <w:rPr>
          <w:rStyle w:val="NormalTok"/>
        </w:rPr>
        <w:t xml:space="preserve">        &lt;</w:t>
      </w:r>
      <w:r>
        <w:rPr>
          <w:rStyle w:val="KeywordTok"/>
        </w:rPr>
        <w:t>ns2:name</w:t>
      </w:r>
      <w:r>
        <w:rPr>
          <w:rStyle w:val="NormalTok"/>
        </w:rPr>
        <w:t>&gt;IALA&lt;/</w:t>
      </w:r>
      <w:r>
        <w:rPr>
          <w:rStyle w:val="KeywordTok"/>
        </w:rPr>
        <w:t>ns2:name</w:t>
      </w:r>
      <w:r>
        <w:rPr>
          <w:rStyle w:val="NormalTok"/>
        </w:rPr>
        <w:t>&gt;</w:t>
      </w:r>
      <w:r>
        <w:br/>
      </w:r>
      <w:r>
        <w:rPr>
          <w:rStyle w:val="NormalTok"/>
        </w:rPr>
        <w:t xml:space="preserve">        &lt;</w:t>
      </w:r>
      <w:r>
        <w:rPr>
          <w:rStyle w:val="KeywordTok"/>
        </w:rPr>
        <w:t>ns2:description</w:t>
      </w:r>
      <w:r>
        <w:rPr>
          <w:rStyle w:val="NormalTok"/>
        </w:rPr>
        <w:t>&gt;International Organization of Marine Aids to Navigation&lt;/</w:t>
      </w:r>
      <w:r>
        <w:rPr>
          <w:rStyle w:val="KeywordTok"/>
        </w:rPr>
        <w:t>ns2:description</w:t>
      </w:r>
      <w:r>
        <w:rPr>
          <w:rStyle w:val="NormalTok"/>
        </w:rPr>
        <w:t>&gt;</w:t>
      </w:r>
      <w:r>
        <w:br/>
      </w:r>
      <w:r>
        <w:rPr>
          <w:rStyle w:val="NormalTok"/>
        </w:rPr>
        <w:t xml:space="preserve">        &lt;</w:t>
      </w:r>
      <w:r>
        <w:rPr>
          <w:rStyle w:val="KeywordTok"/>
        </w:rPr>
        <w:t>ns2:contactInfo</w:t>
      </w:r>
      <w:r>
        <w:rPr>
          <w:rStyle w:val="NormalTok"/>
        </w:rPr>
        <w:t>&gt;https://w</w:t>
      </w:r>
      <w:r>
        <w:rPr>
          <w:rStyle w:val="NormalTok"/>
        </w:rPr>
        <w:t>ww.iala.int/&lt;/</w:t>
      </w:r>
      <w:r>
        <w:rPr>
          <w:rStyle w:val="KeywordTok"/>
        </w:rPr>
        <w:t>ns2:contactInfo</w:t>
      </w:r>
      <w:r>
        <w:rPr>
          <w:rStyle w:val="NormalTok"/>
        </w:rPr>
        <w:t>&gt;</w:t>
      </w:r>
      <w:r>
        <w:br/>
      </w:r>
      <w:r>
        <w:rPr>
          <w:rStyle w:val="NormalTok"/>
        </w:rPr>
        <w:t xml:space="preserve">        &lt;</w:t>
      </w:r>
      <w:r>
        <w:rPr>
          <w:rStyle w:val="KeywordTok"/>
        </w:rPr>
        <w:t>ns2:isCommercial</w:t>
      </w:r>
      <w:r>
        <w:rPr>
          <w:rStyle w:val="NormalTok"/>
        </w:rPr>
        <w:t>&gt;false&lt;/</w:t>
      </w:r>
      <w:r>
        <w:rPr>
          <w:rStyle w:val="KeywordTok"/>
        </w:rPr>
        <w:t>ns2:isCommercial</w:t>
      </w:r>
      <w:r>
        <w:rPr>
          <w:rStyle w:val="NormalTok"/>
        </w:rPr>
        <w:t>&gt;</w:t>
      </w:r>
      <w:r>
        <w:br/>
      </w:r>
      <w:r>
        <w:rPr>
          <w:rStyle w:val="NormalTok"/>
        </w:rPr>
        <w:t xml:space="preserve">    &lt;/</w:t>
      </w:r>
      <w:proofErr w:type="spellStart"/>
      <w:r>
        <w:rPr>
          <w:rStyle w:val="KeywordTok"/>
        </w:rPr>
        <w:t>providedBy</w:t>
      </w:r>
      <w:proofErr w:type="spellEnd"/>
      <w:r>
        <w:rPr>
          <w:rStyle w:val="NormalTok"/>
        </w:rPr>
        <w:t>&gt;</w:t>
      </w:r>
      <w:r>
        <w:br/>
      </w:r>
      <w:r>
        <w:rPr>
          <w:rStyle w:val="NormalTok"/>
        </w:rPr>
        <w:t>&lt;/</w:t>
      </w:r>
      <w:proofErr w:type="spellStart"/>
      <w:r>
        <w:rPr>
          <w:rStyle w:val="KeywordTok"/>
        </w:rPr>
        <w:t>serviceInstance</w:t>
      </w:r>
      <w:proofErr w:type="spellEnd"/>
      <w:r>
        <w:rPr>
          <w:rStyle w:val="NormalTok"/>
        </w:rPr>
        <w:t>&gt;</w:t>
      </w:r>
      <w:bookmarkEnd w:id="147"/>
    </w:p>
    <w:sectPr w:rsidR="00753DEE">
      <w:headerReference w:type="even" r:id="rId31"/>
      <w:headerReference w:type="default" r:id="rId32"/>
      <w:footerReference w:type="even" r:id="rId33"/>
      <w:headerReference w:type="first" r:id="rId34"/>
      <w:footerReference w:type="first" r:id="rId35"/>
      <w:pgSz w:w="11906" w:h="16838"/>
      <w:pgMar w:top="567" w:right="794" w:bottom="567" w:left="907" w:header="567"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92B4E" w14:textId="77777777" w:rsidR="00F02DE0" w:rsidRDefault="00F02DE0">
      <w:r>
        <w:separator/>
      </w:r>
    </w:p>
    <w:p w14:paraId="13AF19BE" w14:textId="77777777" w:rsidR="00F02DE0" w:rsidRDefault="00F02DE0"/>
    <w:p w14:paraId="3F7B4FA9" w14:textId="77777777" w:rsidR="00F02DE0" w:rsidRDefault="00F02DE0"/>
  </w:endnote>
  <w:endnote w:type="continuationSeparator" w:id="0">
    <w:p w14:paraId="7572A7B5" w14:textId="77777777" w:rsidR="00F02DE0" w:rsidRDefault="00F02DE0">
      <w:r>
        <w:continuationSeparator/>
      </w:r>
    </w:p>
    <w:p w14:paraId="4A98B993" w14:textId="77777777" w:rsidR="00F02DE0" w:rsidRDefault="00F02DE0"/>
    <w:p w14:paraId="601408C1" w14:textId="77777777" w:rsidR="00F02DE0" w:rsidRDefault="00F02DE0"/>
  </w:endnote>
  <w:endnote w:type="continuationNotice" w:id="1">
    <w:p w14:paraId="5EC5553C" w14:textId="77777777" w:rsidR="00F02DE0" w:rsidRDefault="00F02DE0">
      <w:pPr>
        <w:spacing w:after="0" w:line="240" w:lineRule="auto"/>
      </w:pPr>
    </w:p>
    <w:p w14:paraId="5363B663" w14:textId="77777777" w:rsidR="00F02DE0" w:rsidRDefault="00F02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EF03" w14:textId="77777777" w:rsidR="00753DEE" w:rsidRDefault="00F02DE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8915BD" w14:textId="77777777" w:rsidR="00753DEE" w:rsidRDefault="00F02DE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813D0B8" w14:textId="77777777" w:rsidR="00753DEE" w:rsidRDefault="00F02DE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B3B139D" w14:textId="77777777" w:rsidR="00753DEE" w:rsidRDefault="00F02DE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46C2FAB" w14:textId="77777777" w:rsidR="00753DEE" w:rsidRDefault="00753D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C125" w14:textId="77777777" w:rsidR="00753DEE" w:rsidRDefault="00F02DE0">
    <w:pPr>
      <w:pStyle w:val="Footer"/>
    </w:pPr>
    <w:r>
      <w:rPr>
        <w:rFonts w:ascii="Calibri" w:hAnsi="Calibri" w:cs="Calibri"/>
        <w:noProof/>
        <w:color w:val="000000"/>
        <w:sz w:val="22"/>
        <w:lang w:eastAsia="en-GB"/>
      </w:rPr>
      <mc:AlternateContent>
        <mc:Choice Requires="wpg">
          <w:drawing>
            <wp:anchor distT="0" distB="0" distL="114300" distR="114300" simplePos="0" relativeHeight="251740160" behindDoc="0" locked="0" layoutInCell="1" allowOverlap="1" wp14:anchorId="220B1E4A" wp14:editId="1F95C8F0">
              <wp:simplePos x="0" y="0"/>
              <wp:positionH relativeFrom="column">
                <wp:posOffset>-398145</wp:posOffset>
              </wp:positionH>
              <wp:positionV relativeFrom="paragraph">
                <wp:posOffset>-149225</wp:posOffset>
              </wp:positionV>
              <wp:extent cx="3620135" cy="822960"/>
              <wp:effectExtent l="0" t="0" r="0" b="0"/>
              <wp:wrapSquare wrapText="bothSides"/>
              <wp:docPr id="20" name="Picture 4" descr="A close-up of a contact 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 descr="A close-up of a contact us&#10;&#10;Description automatically generated"/>
                      <pic:cNvPicPr>
                        <a:picLocks noChangeAspect="1"/>
                      </pic:cNvPicPr>
                    </pic:nvPicPr>
                    <pic:blipFill rotWithShape="1">
                      <a:blip r:embed="rId1"/>
                      <a:stretch/>
                    </pic:blipFill>
                    <pic:spPr bwMode="auto">
                      <a:xfrm>
                        <a:off x="0" y="0"/>
                        <a:ext cx="3620135" cy="82296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 o:spid="_x0000_s15" type="#_x0000_t75" style="position:absolute;z-index:251740160;o:allowoverlap:true;o:allowincell:true;mso-position-horizontal-relative:text;margin-left:-31.35pt;mso-position-horizontal:absolute;mso-position-vertical-relative:text;margin-top:-11.75pt;mso-position-vertical:absolute;width:285.05pt;height:64.80pt;mso-wrap-distance-left:9.00pt;mso-wrap-distance-top:0.00pt;mso-wrap-distance-right:9.00pt;mso-wrap-distance-bottom:0.00pt;z-index:1;" stroked="f">
              <w10:wrap type="square"/>
              <v:imagedata r:id="rId2" o:title=""/>
              <o:lock v:ext="edit" rotation="t"/>
            </v:shape>
          </w:pict>
        </mc:Fallback>
      </mc:AlternateContent>
    </w:r>
    <w:r>
      <w:rPr>
        <w:noProof/>
        <w:lang w:eastAsia="en-GB"/>
      </w:rPr>
      <mc:AlternateContent>
        <mc:Choice Requires="wpg">
          <w:drawing>
            <wp:anchor distT="0" distB="0" distL="114300" distR="114300" simplePos="0" relativeHeight="251669504" behindDoc="0" locked="0" layoutInCell="1" allowOverlap="1" wp14:anchorId="504A60AD" wp14:editId="506B9D3F">
              <wp:simplePos x="0" y="0"/>
              <wp:positionH relativeFrom="page">
                <wp:posOffset>225425</wp:posOffset>
              </wp:positionH>
              <wp:positionV relativeFrom="page">
                <wp:posOffset>9106535</wp:posOffset>
              </wp:positionV>
              <wp:extent cx="7128000" cy="0"/>
              <wp:effectExtent l="0" t="0" r="15875" b="19050"/>
              <wp:wrapNone/>
              <wp:docPr id="21" name="Connecteur droit 11"/>
              <wp:cNvGraphicFramePr/>
              <a:graphic xmlns:a="http://schemas.openxmlformats.org/drawingml/2006/main">
                <a:graphicData uri="http://schemas.microsoft.com/office/word/2010/wordprocessingShape">
                  <wps:wsp>
                    <wps:cNvCnPr/>
                    <wps:spPr bwMode="auto">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shape 16" o:spid="_x0000_s16" style="position:absolute;left:0;text-align:left;z-index:251669504;mso-wrap-distance-left:9.00pt;mso-wrap-distance-top:0.00pt;mso-wrap-distance-right:9.00pt;mso-wrap-distance-bottom:0.00pt;visibility:visible;" from="17.8pt,717.0pt" to="579.0pt,717.0pt" filled="f" strokecolor="#00558C" strokeweight="1.00pt">
              <v:stroke dashstyle="solid"/>
            </v:line>
          </w:pict>
        </mc:Fallback>
      </mc:AlternateContent>
    </w:r>
    <w:r>
      <w:t xml:space="preserve"> </w:t>
    </w:r>
  </w:p>
  <w:p w14:paraId="48CB516D" w14:textId="77777777" w:rsidR="00753DEE" w:rsidRDefault="00753DEE">
    <w:pPr>
      <w:pStyle w:val="Footer"/>
    </w:pPr>
  </w:p>
  <w:p w14:paraId="3AFFAA26" w14:textId="77777777" w:rsidR="00753DEE" w:rsidRDefault="00F02DE0">
    <w:pPr>
      <w:pStyle w:val="Footer"/>
      <w:tabs>
        <w:tab w:val="left" w:pos="1781"/>
      </w:tabs>
    </w:pPr>
    <w:r>
      <w:tab/>
    </w:r>
  </w:p>
  <w:p w14:paraId="7D2F4EB0" w14:textId="77777777" w:rsidR="00753DEE" w:rsidRDefault="00753DEE">
    <w:pPr>
      <w:pStyle w:val="Footer"/>
    </w:pPr>
  </w:p>
  <w:p w14:paraId="1AEAC2CE" w14:textId="77777777" w:rsidR="00753DEE" w:rsidRDefault="00F02DE0">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2EBDE" w14:textId="77777777" w:rsidR="00753DEE" w:rsidRDefault="00F02DE0">
    <w:r>
      <w:rPr>
        <w:noProof/>
        <w:lang w:eastAsia="en-GB"/>
      </w:rPr>
      <mc:AlternateContent>
        <mc:Choice Requires="wpg">
          <w:drawing>
            <wp:anchor distT="0" distB="0" distL="114300" distR="114300" simplePos="0" relativeHeight="251691008" behindDoc="0" locked="0" layoutInCell="1" allowOverlap="1" wp14:anchorId="0601837E" wp14:editId="031E340C">
              <wp:simplePos x="0" y="0"/>
              <wp:positionH relativeFrom="page">
                <wp:posOffset>281940</wp:posOffset>
              </wp:positionH>
              <wp:positionV relativeFrom="page">
                <wp:posOffset>9942195</wp:posOffset>
              </wp:positionV>
              <wp:extent cx="7128000" cy="0"/>
              <wp:effectExtent l="0" t="0" r="15875" b="19050"/>
              <wp:wrapNone/>
              <wp:docPr id="22" name="Connecteur droit 11"/>
              <wp:cNvGraphicFramePr/>
              <a:graphic xmlns:a="http://schemas.openxmlformats.org/drawingml/2006/main">
                <a:graphicData uri="http://schemas.microsoft.com/office/word/2010/wordprocessingShape">
                  <wps:wsp>
                    <wps:cNvCnPr/>
                    <wps:spPr bwMode="auto">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shape 17" o:spid="_x0000_s17" style="position:absolute;left:0;text-align:left;z-index:251691008;mso-wrap-distance-left:9.00pt;mso-wrap-distance-top:0.00pt;mso-wrap-distance-right:9.00pt;mso-wrap-distance-bottom:0.00pt;visibility:visible;" from="22.2pt,782.8pt" to="583.5pt,782.8pt" filled="f" strokecolor="#00558C" strokeweight="1.00pt">
              <v:stroke dashstyle="solid"/>
            </v:line>
          </w:pict>
        </mc:Fallback>
      </mc:AlternateContent>
    </w:r>
  </w:p>
  <w:p w14:paraId="60BF625D" w14:textId="77777777" w:rsidR="00753DEE" w:rsidRPr="00BB642F" w:rsidRDefault="00F02DE0">
    <w:pPr>
      <w:rPr>
        <w:rStyle w:val="PageNumber"/>
        <w:szCs w:val="15"/>
        <w:lang w:val="fr-FR"/>
      </w:rPr>
    </w:pPr>
    <w:r>
      <w:rPr>
        <w:szCs w:val="15"/>
      </w:rPr>
      <w:fldChar w:fldCharType="begin"/>
    </w:r>
    <w:r w:rsidRPr="00BB642F">
      <w:rPr>
        <w:szCs w:val="15"/>
        <w:lang w:val="fr-FR"/>
      </w:rPr>
      <w:instrText xml:space="preserve"> STYLEREF "Document title" \* MERGEFORMAT </w:instrText>
    </w:r>
    <w:r>
      <w:rPr>
        <w:szCs w:val="15"/>
      </w:rPr>
      <w:fldChar w:fldCharType="separate"/>
    </w:r>
    <w:r>
      <w:rPr>
        <w:b/>
        <w:bCs/>
        <w:szCs w:val="15"/>
        <w:lang w:val="fr-FR"/>
      </w:rPr>
      <w:t>Erreur ! Utilisez l'onglet Accueil pour appliquer</w:t>
    </w:r>
    <w:r>
      <w:rPr>
        <w:b/>
        <w:lang w:val="fr-FR"/>
      </w:rPr>
      <w:t xml:space="preserve"> Document </w:t>
    </w:r>
    <w:proofErr w:type="spellStart"/>
    <w:r>
      <w:rPr>
        <w:b/>
        <w:lang w:val="fr-FR"/>
      </w:rPr>
      <w:t>title</w:t>
    </w:r>
    <w:proofErr w:type="spellEnd"/>
    <w:r>
      <w:rPr>
        <w:b/>
        <w:lang w:val="fr-FR"/>
      </w:rPr>
      <w:t xml:space="preserve"> </w:t>
    </w:r>
    <w:r>
      <w:rPr>
        <w:b/>
        <w:bCs/>
        <w:szCs w:val="15"/>
        <w:lang w:val="fr-FR"/>
      </w:rPr>
      <w:t>au texte que vous souhaitez faire apparaître ici</w:t>
    </w:r>
    <w:r>
      <w:rPr>
        <w:b/>
        <w:lang w:val="fr-FR"/>
      </w:rPr>
      <w:t>.</w:t>
    </w:r>
    <w:r>
      <w:rPr>
        <w:szCs w:val="15"/>
      </w:rPr>
      <w:fldChar w:fldCharType="end"/>
    </w:r>
    <w:r w:rsidRPr="00BB642F">
      <w:rPr>
        <w:szCs w:val="15"/>
        <w:lang w:val="fr-FR"/>
      </w:rPr>
      <w:t xml:space="preserve"> </w:t>
    </w:r>
    <w:r>
      <w:rPr>
        <w:szCs w:val="15"/>
      </w:rPr>
      <w:fldChar w:fldCharType="begin"/>
    </w:r>
    <w:r w:rsidRPr="00BB642F">
      <w:rPr>
        <w:szCs w:val="15"/>
        <w:lang w:val="fr-FR"/>
      </w:rPr>
      <w:instrText xml:space="preserve"> STYLEREF "Document number" \* MERGEFORMAT </w:instrText>
    </w:r>
    <w:r>
      <w:rPr>
        <w:szCs w:val="15"/>
      </w:rPr>
      <w:fldChar w:fldCharType="separate"/>
    </w:r>
    <w:r>
      <w:rPr>
        <w:szCs w:val="15"/>
      </w:rPr>
      <w:t>G1192</w:t>
    </w:r>
    <w:r>
      <w:rPr>
        <w:szCs w:val="15"/>
      </w:rPr>
      <w:fldChar w:fldCharType="end"/>
    </w:r>
    <w:r>
      <w:rPr>
        <w:szCs w:val="15"/>
      </w:rPr>
      <w:t xml:space="preserve"> – </w:t>
    </w:r>
    <w:r>
      <w:rPr>
        <w:szCs w:val="15"/>
      </w:rPr>
      <w:fldChar w:fldCharType="begin"/>
    </w:r>
    <w:r>
      <w:rPr>
        <w:szCs w:val="15"/>
      </w:rPr>
      <w:instrText xml:space="preserve"> STYLEREF Subtitle \* MERGEFORMAT </w:instrText>
    </w:r>
    <w:r>
      <w:rPr>
        <w:szCs w:val="15"/>
      </w:rPr>
      <w:fldChar w:fldCharType="separate"/>
    </w:r>
    <w:r>
      <w:rPr>
        <w:b/>
        <w:bCs/>
        <w:szCs w:val="15"/>
        <w:lang w:val="fr-FR"/>
      </w:rPr>
      <w:t xml:space="preserve">Erreur ! Utilisez l'onglet Accueil pour appliquer </w:t>
    </w:r>
    <w:proofErr w:type="spellStart"/>
    <w:r>
      <w:rPr>
        <w:b/>
        <w:bCs/>
        <w:szCs w:val="15"/>
        <w:lang w:val="fr-FR"/>
      </w:rPr>
      <w:t>Subtitle</w:t>
    </w:r>
    <w:proofErr w:type="spellEnd"/>
    <w:r>
      <w:rPr>
        <w:b/>
        <w:bCs/>
        <w:szCs w:val="15"/>
        <w:lang w:val="fr-FR"/>
      </w:rPr>
      <w:t xml:space="preserve"> au texte que vous souhaitez faire apparaître ici.</w:t>
    </w:r>
    <w:r>
      <w:rPr>
        <w:szCs w:val="15"/>
      </w:rPr>
      <w:fldChar w:fldCharType="end"/>
    </w:r>
  </w:p>
  <w:p w14:paraId="292D64E6" w14:textId="77777777" w:rsidR="00753DEE" w:rsidRDefault="00F02DE0">
    <w:pPr>
      <w:rPr>
        <w:szCs w:val="15"/>
      </w:rPr>
    </w:pPr>
    <w:r>
      <w:rPr>
        <w:szCs w:val="15"/>
      </w:rPr>
      <w:fldChar w:fldCharType="begin"/>
    </w:r>
    <w:r>
      <w:rPr>
        <w:szCs w:val="15"/>
      </w:rPr>
      <w:instrText xml:space="preserve"> STYLEREF "Edition number" \* MERGEFORMAT </w:instrText>
    </w:r>
    <w:r>
      <w:rPr>
        <w:szCs w:val="15"/>
      </w:rPr>
      <w:fldChar w:fldCharType="separate"/>
    </w:r>
    <w:r>
      <w:rPr>
        <w:szCs w:val="15"/>
      </w:rPr>
      <w:t>Edition 1.0</w:t>
    </w:r>
    <w:r>
      <w:rPr>
        <w:szCs w:val="15"/>
      </w:rPr>
      <w:fldChar w:fldCharType="end"/>
    </w:r>
    <w:r>
      <w:rPr>
        <w:szCs w:val="15"/>
      </w:rP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3</w:t>
    </w:r>
    <w:r>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9C8D" w14:textId="77777777" w:rsidR="00753DEE" w:rsidRDefault="00753DEE">
    <w:pPr>
      <w:pStyle w:val="Footerportrait"/>
    </w:pPr>
  </w:p>
  <w:p w14:paraId="02068B1E" w14:textId="77777777" w:rsidR="00753DEE" w:rsidRPr="00BB642F" w:rsidRDefault="00F02DE0">
    <w:pPr>
      <w:pStyle w:val="Footerportrait"/>
      <w:spacing w:after="0"/>
      <w:rPr>
        <w:rStyle w:val="PageNumber"/>
        <w:lang w:val="en-GB"/>
      </w:rPr>
    </w:pPr>
    <w:r w:rsidRPr="00BB642F">
      <w:rPr>
        <w:lang w:val="en-GB"/>
      </w:rPr>
      <w:t xml:space="preserve">IALA </w:t>
    </w:r>
    <w:r>
      <w:rPr>
        <w:lang w:val="en"/>
      </w:rPr>
      <w:t>Marine Aids to Navigation (</w:t>
    </w:r>
    <w:proofErr w:type="spellStart"/>
    <w:r>
      <w:rPr>
        <w:lang w:val="en"/>
      </w:rPr>
      <w:t>AtoN</w:t>
    </w:r>
    <w:proofErr w:type="spellEnd"/>
    <w:r>
      <w:rPr>
        <w:lang w:val="en"/>
      </w:rPr>
      <w:t xml:space="preserve">) Service Design – Provision of </w:t>
    </w:r>
    <w:proofErr w:type="spellStart"/>
    <w:r>
      <w:rPr>
        <w:lang w:val="en"/>
      </w:rPr>
      <w:t>AtoN</w:t>
    </w:r>
    <w:proofErr w:type="spellEnd"/>
    <w:r>
      <w:rPr>
        <w:lang w:val="en"/>
      </w:rPr>
      <w:t xml:space="preserve"> Information to End-Users over IEC 63173-2 (SECOM)</w:t>
    </w:r>
  </w:p>
  <w:p w14:paraId="5013B2B9" w14:textId="47668450" w:rsidR="00753DEE" w:rsidRDefault="00D918C7">
    <w:pPr>
      <w:pStyle w:val="Footerportrait"/>
      <w:spacing w:after="0"/>
    </w:pPr>
    <w:fldSimple w:instr=" STYLEREF &quot;Edition number&quot; \* MERGEFORMAT ">
      <w:r w:rsidR="00BB642F">
        <w:rPr>
          <w:noProof/>
        </w:rPr>
        <w:t xml:space="preserve">Edition </w:t>
      </w:r>
      <w:r w:rsidR="00BB642F" w:rsidRPr="00BB642F">
        <w:rPr>
          <w:b w:val="0"/>
          <w:bCs/>
          <w:noProof/>
        </w:rPr>
        <w:t>1.0</w:t>
      </w:r>
    </w:fldSimple>
    <w:r w:rsidR="00F02DE0">
      <w:t xml:space="preserve"> </w:t>
    </w:r>
    <w:fldSimple w:instr="STYLEREF MRN  \* MERGEFORMAT ">
      <w:r w:rsidR="00BB642F">
        <w:rPr>
          <w:noProof/>
        </w:rPr>
        <w:t>urn:mrn:iala:pub:gXXXX:ed.1.0</w:t>
      </w:r>
    </w:fldSimple>
    <w:r w:rsidR="00F02DE0">
      <w:tab/>
      <w:t xml:space="preserve">P </w:t>
    </w:r>
    <w:r w:rsidR="00F02DE0">
      <w:rPr>
        <w:rStyle w:val="PageNumber"/>
        <w:szCs w:val="15"/>
      </w:rPr>
      <w:fldChar w:fldCharType="begin"/>
    </w:r>
    <w:r w:rsidR="00F02DE0">
      <w:rPr>
        <w:rStyle w:val="PageNumber"/>
        <w:szCs w:val="15"/>
      </w:rPr>
      <w:instrText xml:space="preserve">PAGE  </w:instrText>
    </w:r>
    <w:r w:rsidR="00F02DE0">
      <w:rPr>
        <w:rStyle w:val="PageNumber"/>
        <w:szCs w:val="15"/>
      </w:rPr>
      <w:fldChar w:fldCharType="separate"/>
    </w:r>
    <w:r w:rsidR="00F02DE0">
      <w:rPr>
        <w:rStyle w:val="PageNumber"/>
        <w:szCs w:val="15"/>
      </w:rPr>
      <w:t>4</w:t>
    </w:r>
    <w:r w:rsidR="00F02DE0">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D3F9C" w14:textId="77777777" w:rsidR="00753DEE" w:rsidRDefault="00753DEE">
    <w:pPr>
      <w:pStyle w:val="Footerportrait"/>
    </w:pPr>
  </w:p>
  <w:p w14:paraId="254E2C20" w14:textId="77777777" w:rsidR="00753DEE" w:rsidRDefault="00F02DE0">
    <w:pPr>
      <w:pStyle w:val="Footerportrait"/>
      <w:rPr>
        <w:rStyle w:val="PageNumber"/>
        <w:lang w:val="fr-FR"/>
      </w:rPr>
    </w:pPr>
    <w:r>
      <w:fldChar w:fldCharType="begin"/>
    </w:r>
    <w:r>
      <w:rPr>
        <w:lang w:val="fr-FR"/>
      </w:rPr>
      <w:instrText xml:space="preserve"> STYLEREF "Document type" \* MERGEFORMAT </w:instrText>
    </w:r>
    <w:r>
      <w:fldChar w:fldCharType="separate"/>
    </w:r>
    <w:r>
      <w:rPr>
        <w:lang w:val="fr-FR"/>
      </w:rPr>
      <w:t>IALA Guideline</w:t>
    </w:r>
    <w:r>
      <w:fldChar w:fldCharType="end"/>
    </w:r>
    <w:r>
      <w:rPr>
        <w:lang w:val="fr-FR"/>
      </w:rPr>
      <w:t xml:space="preserve"> </w:t>
    </w:r>
    <w:r>
      <w:fldChar w:fldCharType="begin"/>
    </w:r>
    <w:r>
      <w:rPr>
        <w:lang w:val="fr-FR"/>
      </w:rPr>
      <w:instrText xml:space="preserve"> STYLEREF "Document number" \* MERGEFORMAT </w:instrText>
    </w:r>
    <w:r>
      <w:fldChar w:fldCharType="separate"/>
    </w:r>
    <w:r>
      <w:rPr>
        <w:bCs/>
        <w:lang w:val="fr-FR"/>
      </w:rPr>
      <w:t>G1192</w:t>
    </w:r>
    <w:r>
      <w:rPr>
        <w:bCs/>
      </w:rPr>
      <w:fldChar w:fldCharType="end"/>
    </w:r>
    <w:r>
      <w:rPr>
        <w:lang w:val="fr-FR"/>
      </w:rPr>
      <w:t xml:space="preserve"> </w:t>
    </w:r>
    <w:r>
      <w:fldChar w:fldCharType="begin"/>
    </w:r>
    <w:r>
      <w:rPr>
        <w:lang w:val="fr-FR"/>
      </w:rPr>
      <w:instrText xml:space="preserve"> STYLEREF "Document name" \* MERGEFORMAT </w:instrText>
    </w:r>
    <w:r>
      <w:fldChar w:fldCharType="separate"/>
    </w:r>
    <w:r>
      <w:rPr>
        <w:b w:val="0"/>
        <w:bCs/>
        <w:lang w:val="fr-FR"/>
      </w:rPr>
      <w:t xml:space="preserve">VDES </w:t>
    </w:r>
    <w:proofErr w:type="spellStart"/>
    <w:r>
      <w:rPr>
        <w:b w:val="0"/>
        <w:bCs/>
        <w:lang w:val="fr-FR"/>
      </w:rPr>
      <w:t>Authentication</w:t>
    </w:r>
    <w:proofErr w:type="spellEnd"/>
    <w:r>
      <w:rPr>
        <w:lang w:val="fr-FR"/>
      </w:rPr>
      <w:t xml:space="preserve"> Techniques</w:t>
    </w:r>
    <w:r>
      <w:fldChar w:fldCharType="end"/>
    </w:r>
  </w:p>
  <w:p w14:paraId="42FF830B" w14:textId="77777777" w:rsidR="00753DEE" w:rsidRDefault="00753DEE">
    <w:pPr>
      <w:pStyle w:val="Footerportrait"/>
    </w:pPr>
    <w:fldSimple w:instr="STYLEREF &quot;Edition number&quot; \* MERGEFORMAT ">
      <w:r>
        <w:t>Edition 1.0</w:t>
      </w:r>
    </w:fldSimple>
    <w:r w:rsidR="00F02DE0">
      <w:t xml:space="preserve"> </w:t>
    </w:r>
    <w:r>
      <w:fldChar w:fldCharType="begin"/>
    </w:r>
    <w:r>
      <w:instrText xml:space="preserve">STYLEREF MRN  \* MERGEFORMAT </w:instrText>
    </w:r>
    <w:r>
      <w:fldChar w:fldCharType="separate"/>
    </w:r>
    <w:proofErr w:type="gramStart"/>
    <w:r>
      <w:t>urn:mrn</w:t>
    </w:r>
    <w:proofErr w:type="gramEnd"/>
    <w:r>
      <w:t>:iala:</w:t>
    </w:r>
    <w:proofErr w:type="gramStart"/>
    <w:r>
      <w:t>pub:g1192:ed.</w:t>
    </w:r>
    <w:proofErr w:type="gramEnd"/>
    <w:r>
      <w:t>1.0</w:t>
    </w:r>
    <w:r>
      <w:fldChar w:fldCharType="end"/>
    </w:r>
    <w:r w:rsidR="00F02DE0">
      <w:tab/>
      <w:t xml:space="preserve">P </w:t>
    </w:r>
    <w:r w:rsidR="00F02DE0">
      <w:rPr>
        <w:rStyle w:val="PageNumber"/>
        <w:szCs w:val="15"/>
      </w:rPr>
      <w:fldChar w:fldCharType="begin"/>
    </w:r>
    <w:r w:rsidR="00F02DE0">
      <w:rPr>
        <w:rStyle w:val="PageNumber"/>
        <w:szCs w:val="15"/>
      </w:rPr>
      <w:instrText xml:space="preserve">PAGE  </w:instrText>
    </w:r>
    <w:r w:rsidR="00F02DE0">
      <w:rPr>
        <w:rStyle w:val="PageNumber"/>
        <w:szCs w:val="15"/>
      </w:rPr>
      <w:fldChar w:fldCharType="separate"/>
    </w:r>
    <w:r w:rsidR="00F02DE0">
      <w:rPr>
        <w:rStyle w:val="PageNumber"/>
        <w:szCs w:val="15"/>
      </w:rPr>
      <w:t>3</w:t>
    </w:r>
    <w:r w:rsidR="00F02DE0">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467F" w14:textId="77777777" w:rsidR="00753DEE" w:rsidRDefault="00F02DE0">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9B4A94" w14:textId="77777777" w:rsidR="00753DEE" w:rsidRDefault="00F02DE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8904CE" w14:textId="77777777" w:rsidR="00753DEE" w:rsidRDefault="00F02DE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098A220A" w14:textId="77777777" w:rsidR="00753DEE" w:rsidRDefault="00F02DE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3488CE3" w14:textId="77777777" w:rsidR="00753DEE" w:rsidRDefault="00753DEE">
    <w:pPr>
      <w:pStyle w:val="Footer"/>
      <w:ind w:right="360"/>
    </w:pPr>
  </w:p>
  <w:p w14:paraId="61519D3B" w14:textId="77777777" w:rsidR="00753DEE" w:rsidRDefault="00753DE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071A3" w14:textId="77777777" w:rsidR="00753DEE" w:rsidRDefault="00F02DE0">
    <w:r>
      <w:rPr>
        <w:noProof/>
        <w:lang w:eastAsia="en-GB"/>
      </w:rPr>
      <mc:AlternateContent>
        <mc:Choice Requires="wpg">
          <w:drawing>
            <wp:anchor distT="0" distB="0" distL="114300" distR="114300" simplePos="0" relativeHeight="251736064" behindDoc="0" locked="0" layoutInCell="1" allowOverlap="1" wp14:anchorId="772A9D4D" wp14:editId="38E180F8">
              <wp:simplePos x="0" y="0"/>
              <wp:positionH relativeFrom="page">
                <wp:posOffset>281940</wp:posOffset>
              </wp:positionH>
              <wp:positionV relativeFrom="page">
                <wp:posOffset>9942195</wp:posOffset>
              </wp:positionV>
              <wp:extent cx="7128000" cy="0"/>
              <wp:effectExtent l="0" t="0" r="15875" b="19050"/>
              <wp:wrapNone/>
              <wp:docPr id="23" name="Connecteur droit 11"/>
              <wp:cNvGraphicFramePr/>
              <a:graphic xmlns:a="http://schemas.openxmlformats.org/drawingml/2006/main">
                <a:graphicData uri="http://schemas.microsoft.com/office/word/2010/wordprocessingShape">
                  <wps:wsp>
                    <wps:cNvCnPr/>
                    <wps:spPr bwMode="auto">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shape 18" o:spid="_x0000_s18" style="position:absolute;left:0;text-align:left;z-index:251736064;mso-wrap-distance-left:9.00pt;mso-wrap-distance-top:0.00pt;mso-wrap-distance-right:9.00pt;mso-wrap-distance-bottom:0.00pt;visibility:visible;" from="22.2pt,782.8pt" to="583.5pt,782.8pt" filled="f" strokecolor="#00558C" strokeweight="1.00pt">
              <v:stroke dashstyle="solid"/>
            </v:line>
          </w:pict>
        </mc:Fallback>
      </mc:AlternateContent>
    </w:r>
  </w:p>
  <w:p w14:paraId="61F475EB" w14:textId="77777777" w:rsidR="00753DEE" w:rsidRPr="00BB642F" w:rsidRDefault="00F02DE0">
    <w:pPr>
      <w:rPr>
        <w:rStyle w:val="PageNumber"/>
        <w:szCs w:val="15"/>
        <w:lang w:val="fr-FR"/>
      </w:rPr>
    </w:pPr>
    <w:r>
      <w:rPr>
        <w:szCs w:val="15"/>
      </w:rPr>
      <w:fldChar w:fldCharType="begin"/>
    </w:r>
    <w:r w:rsidRPr="00BB642F">
      <w:rPr>
        <w:szCs w:val="15"/>
        <w:lang w:val="fr-FR"/>
      </w:rPr>
      <w:instrText xml:space="preserve"> STYLEREF "Document title" \* MERGEFORMAT </w:instrText>
    </w:r>
    <w:r>
      <w:rPr>
        <w:szCs w:val="15"/>
      </w:rPr>
      <w:fldChar w:fldCharType="separate"/>
    </w:r>
    <w:r>
      <w:rPr>
        <w:b/>
        <w:bCs/>
        <w:szCs w:val="15"/>
        <w:lang w:val="fr-FR"/>
      </w:rPr>
      <w:t>Erreur ! Utilisez l'onglet Accueil pour appliquer</w:t>
    </w:r>
    <w:r>
      <w:rPr>
        <w:b/>
        <w:lang w:val="fr-FR"/>
      </w:rPr>
      <w:t xml:space="preserve"> Document </w:t>
    </w:r>
    <w:proofErr w:type="spellStart"/>
    <w:r>
      <w:rPr>
        <w:b/>
        <w:lang w:val="fr-FR"/>
      </w:rPr>
      <w:t>title</w:t>
    </w:r>
    <w:proofErr w:type="spellEnd"/>
    <w:r>
      <w:rPr>
        <w:b/>
        <w:lang w:val="fr-FR"/>
      </w:rPr>
      <w:t xml:space="preserve"> </w:t>
    </w:r>
    <w:r>
      <w:rPr>
        <w:b/>
        <w:bCs/>
        <w:szCs w:val="15"/>
        <w:lang w:val="fr-FR"/>
      </w:rPr>
      <w:t>au texte que vous souhaitez faire apparaître ici</w:t>
    </w:r>
    <w:r>
      <w:rPr>
        <w:b/>
        <w:lang w:val="fr-FR"/>
      </w:rPr>
      <w:t>.</w:t>
    </w:r>
    <w:r>
      <w:rPr>
        <w:szCs w:val="15"/>
      </w:rPr>
      <w:fldChar w:fldCharType="end"/>
    </w:r>
    <w:r w:rsidRPr="00BB642F">
      <w:rPr>
        <w:szCs w:val="15"/>
        <w:lang w:val="fr-FR"/>
      </w:rPr>
      <w:t xml:space="preserve"> </w:t>
    </w:r>
    <w:r>
      <w:rPr>
        <w:szCs w:val="15"/>
      </w:rPr>
      <w:fldChar w:fldCharType="begin"/>
    </w:r>
    <w:r w:rsidRPr="00BB642F">
      <w:rPr>
        <w:szCs w:val="15"/>
        <w:lang w:val="fr-FR"/>
      </w:rPr>
      <w:instrText xml:space="preserve"> STYLEREF "Document number" \* MERGEFORMAT </w:instrText>
    </w:r>
    <w:r>
      <w:rPr>
        <w:szCs w:val="15"/>
      </w:rPr>
      <w:fldChar w:fldCharType="separate"/>
    </w:r>
    <w:r>
      <w:rPr>
        <w:szCs w:val="15"/>
      </w:rPr>
      <w:t>G1192</w:t>
    </w:r>
    <w:r>
      <w:rPr>
        <w:szCs w:val="15"/>
      </w:rPr>
      <w:fldChar w:fldCharType="end"/>
    </w:r>
    <w:r>
      <w:rPr>
        <w:szCs w:val="15"/>
      </w:rPr>
      <w:t xml:space="preserve"> – </w:t>
    </w:r>
    <w:r>
      <w:rPr>
        <w:szCs w:val="15"/>
      </w:rPr>
      <w:fldChar w:fldCharType="begin"/>
    </w:r>
    <w:r>
      <w:rPr>
        <w:szCs w:val="15"/>
      </w:rPr>
      <w:instrText xml:space="preserve"> STYLEREF Subtitle \* MERGEFORMAT </w:instrText>
    </w:r>
    <w:r>
      <w:rPr>
        <w:szCs w:val="15"/>
      </w:rPr>
      <w:fldChar w:fldCharType="separate"/>
    </w:r>
    <w:r>
      <w:rPr>
        <w:b/>
        <w:bCs/>
        <w:szCs w:val="15"/>
        <w:lang w:val="fr-FR"/>
      </w:rPr>
      <w:t xml:space="preserve">Erreur ! Utilisez l'onglet Accueil pour appliquer </w:t>
    </w:r>
    <w:proofErr w:type="spellStart"/>
    <w:r>
      <w:rPr>
        <w:b/>
        <w:bCs/>
        <w:szCs w:val="15"/>
        <w:lang w:val="fr-FR"/>
      </w:rPr>
      <w:t>Subtitle</w:t>
    </w:r>
    <w:proofErr w:type="spellEnd"/>
    <w:r>
      <w:rPr>
        <w:b/>
        <w:bCs/>
        <w:szCs w:val="15"/>
        <w:lang w:val="fr-FR"/>
      </w:rPr>
      <w:t xml:space="preserve"> au texte que vous souhaitez faire apparaître ici.</w:t>
    </w:r>
    <w:r>
      <w:rPr>
        <w:szCs w:val="15"/>
      </w:rPr>
      <w:fldChar w:fldCharType="end"/>
    </w:r>
  </w:p>
  <w:p w14:paraId="7A5CB460" w14:textId="77777777" w:rsidR="00753DEE" w:rsidRDefault="00F02DE0">
    <w:pPr>
      <w:rPr>
        <w:szCs w:val="15"/>
      </w:rPr>
    </w:pPr>
    <w:r>
      <w:rPr>
        <w:szCs w:val="15"/>
      </w:rPr>
      <w:fldChar w:fldCharType="begin"/>
    </w:r>
    <w:r>
      <w:rPr>
        <w:szCs w:val="15"/>
      </w:rPr>
      <w:instrText xml:space="preserve"> STYLEREF "Edition number" \* MERGEFORMAT </w:instrText>
    </w:r>
    <w:r>
      <w:rPr>
        <w:szCs w:val="15"/>
      </w:rPr>
      <w:fldChar w:fldCharType="separate"/>
    </w:r>
    <w:r>
      <w:rPr>
        <w:szCs w:val="15"/>
      </w:rPr>
      <w:t>Edition 1.0</w:t>
    </w:r>
    <w:r>
      <w:rPr>
        <w:szCs w:val="15"/>
      </w:rPr>
      <w:fldChar w:fldCharType="end"/>
    </w:r>
    <w:r>
      <w:rPr>
        <w:szCs w:val="15"/>
      </w:rPr>
      <w:tab/>
      <w:t xml:space="preserve">P </w:t>
    </w:r>
    <w:r>
      <w:rPr>
        <w:rStyle w:val="PageNumber"/>
        <w:szCs w:val="15"/>
      </w:rPr>
      <w:fldChar w:fldCharType="begin"/>
    </w:r>
    <w:r>
      <w:rPr>
        <w:rStyle w:val="PageNumber"/>
        <w:szCs w:val="15"/>
      </w:rPr>
      <w:instrText xml:space="preserve">PAGE  </w:instrText>
    </w:r>
    <w:r>
      <w:rPr>
        <w:rStyle w:val="PageNumber"/>
        <w:szCs w:val="15"/>
      </w:rPr>
      <w:fldChar w:fldCharType="separate"/>
    </w:r>
    <w:r>
      <w:rPr>
        <w:rStyle w:val="PageNumber"/>
        <w:szCs w:val="15"/>
      </w:rPr>
      <w:t>3</w:t>
    </w:r>
    <w:r>
      <w:rPr>
        <w:rStyle w:val="PageNumber"/>
        <w:szCs w:val="15"/>
      </w:rPr>
      <w:fldChar w:fldCharType="end"/>
    </w:r>
  </w:p>
  <w:p w14:paraId="5180B851" w14:textId="77777777" w:rsidR="00753DEE" w:rsidRDefault="00753D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08378" w14:textId="77777777" w:rsidR="00F02DE0" w:rsidRDefault="00F02DE0">
      <w:r>
        <w:separator/>
      </w:r>
    </w:p>
    <w:p w14:paraId="6E905474" w14:textId="77777777" w:rsidR="00F02DE0" w:rsidRDefault="00F02DE0"/>
    <w:p w14:paraId="3204D962" w14:textId="77777777" w:rsidR="00F02DE0" w:rsidRDefault="00F02DE0"/>
  </w:footnote>
  <w:footnote w:type="continuationSeparator" w:id="0">
    <w:p w14:paraId="47D490A0" w14:textId="77777777" w:rsidR="00F02DE0" w:rsidRDefault="00F02DE0">
      <w:r>
        <w:continuationSeparator/>
      </w:r>
    </w:p>
    <w:p w14:paraId="40BD1C2C" w14:textId="77777777" w:rsidR="00F02DE0" w:rsidRDefault="00F02DE0"/>
    <w:p w14:paraId="31EE99DA" w14:textId="77777777" w:rsidR="00F02DE0" w:rsidRDefault="00F02DE0"/>
  </w:footnote>
  <w:footnote w:type="continuationNotice" w:id="1">
    <w:p w14:paraId="3F8C5256" w14:textId="77777777" w:rsidR="00F02DE0" w:rsidRDefault="00F02DE0">
      <w:pPr>
        <w:spacing w:after="0" w:line="240" w:lineRule="auto"/>
      </w:pPr>
    </w:p>
    <w:p w14:paraId="053F8DFB" w14:textId="77777777" w:rsidR="00F02DE0" w:rsidRDefault="00F02D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89E0D" w14:textId="77777777" w:rsidR="00753DEE" w:rsidRDefault="00F02DE0">
    <w:pPr>
      <w:pStyle w:val="Header"/>
    </w:pPr>
    <w:r>
      <w:rPr>
        <w:noProof/>
      </w:rPr>
      <mc:AlternateContent>
        <mc:Choice Requires="wps">
          <w:drawing>
            <wp:anchor distT="0" distB="0" distL="114300" distR="114300" simplePos="0" relativeHeight="251611136" behindDoc="1" locked="0" layoutInCell="0" allowOverlap="1" wp14:anchorId="6187DAD3" wp14:editId="33E2C6D1">
              <wp:simplePos x="0" y="0"/>
              <wp:positionH relativeFrom="margin">
                <wp:align>center</wp:align>
              </wp:positionH>
              <wp:positionV relativeFrom="margin">
                <wp:align>center</wp:align>
              </wp:positionV>
              <wp:extent cx="5709920" cy="3425825"/>
              <wp:effectExtent l="0" t="0" r="0" b="0"/>
              <wp:wrapNone/>
              <wp:docPr id="7" name="_x0000_s1026"/>
              <wp:cNvGraphicFramePr/>
              <a:graphic xmlns:a="http://schemas.openxmlformats.org/drawingml/2006/main">
                <a:graphicData uri="http://schemas.microsoft.com/office/word/2010/wordprocessingShape">
                  <wps:wsp>
                    <wps:cNvSpPr/>
                    <wps:spPr bwMode="auto">
                      <a:xfrm rot="18900000">
                        <a:off x="0" y="0"/>
                        <a:ext cx="5709920" cy="3425825"/>
                      </a:xfrm>
                      <a:prstGeom prst="rect">
                        <a:avLst/>
                      </a:prstGeom>
                      <a:noFill/>
                      <a:ln>
                        <a:noFill/>
                      </a:ln>
                    </wps:spPr>
                    <wps:txbx>
                      <w:txbxContent>
                        <w:p w14:paraId="3E1D7672" w14:textId="77777777" w:rsidR="00753DEE" w:rsidRDefault="00F02DE0">
                          <w:pPr>
                            <w:jc w:val="cente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pPr>
                          <w: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t>DRAFT</w:t>
                          </w:r>
                        </w:p>
                      </w:txbxContent>
                    </wps:txbx>
                    <wps:bodyPr wrap="square" lIns="0" tIns="0" rIns="0" bIns="0" numCol="1" fromWordArt="1">
                      <a:prstTxWarp prst="textPlain">
                        <a:avLst>
                          <a:gd name="adj" fmla="val 50000"/>
                        </a:avLst>
                      </a:prstTxWarp>
                      <a:normAutofit/>
                    </wps:bodyPr>
                  </wps:wsp>
                </a:graphicData>
              </a:graphic>
            </wp:anchor>
          </w:drawing>
        </mc:Choice>
        <mc:Fallback>
          <w:pict>
            <v:rect w14:anchorId="6187DAD3" id="_x0000_s1026" o:spid="_x0000_s1026" style="position:absolute;margin-left:0;margin-top:0;width:449.6pt;height:269.75pt;rotation:-45;z-index:-251705344;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" o:allowincell="f" filled="f" stroked="f">
              <v:textbox inset="0,0,0,0">
                <w:txbxContent>
                  <w:p w14:paraId="3E1D7672" w14:textId="77777777" w:rsidR="00753DEE" w:rsidRDefault="00000000">
                    <w:pPr>
                      <w:jc w:val="cente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pPr>
                    <w: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t>DRAFT</w:t>
                    </w:r>
                  </w:p>
                </w:txbxContent>
              </v:textbox>
              <w10:wrap anchorx="margin" anchory="margin"/>
            </v:rec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3EB4" w14:textId="77777777" w:rsidR="00753DEE" w:rsidRDefault="00F02DE0">
    <w:pPr>
      <w:pStyle w:val="Header"/>
    </w:pPr>
    <w:r>
      <w:rPr>
        <w:noProof/>
        <w:lang w:eastAsia="en-GB"/>
      </w:rPr>
      <mc:AlternateContent>
        <mc:Choice Requires="wps">
          <w:drawing>
            <wp:anchor distT="0" distB="0" distL="114300" distR="114300" simplePos="0" relativeHeight="251727872" behindDoc="1" locked="0" layoutInCell="0" allowOverlap="1" wp14:anchorId="7A7C3C4B" wp14:editId="0B220D0C">
              <wp:simplePos x="0" y="0"/>
              <wp:positionH relativeFrom="margin">
                <wp:align>center</wp:align>
              </wp:positionH>
              <wp:positionV relativeFrom="margin">
                <wp:align>center</wp:align>
              </wp:positionV>
              <wp:extent cx="5709920" cy="3425825"/>
              <wp:effectExtent l="0" t="1247775" r="0" b="717550"/>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wps:spPr>
                    <wps:txbx>
                      <w:txbxContent>
                        <w:p w14:paraId="704185C6" w14:textId="77777777" w:rsidR="00753DEE" w:rsidRDefault="00F02DE0">
                          <w:pPr>
                            <w:pStyle w:val="NormalWeb"/>
                            <w:spacing w:after="0"/>
                            <w:jc w:val="center"/>
                            <w:rPr>
                              <w:sz w:val="24"/>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A7C3C4B" id="_x0000_t202" coordsize="21600,21600" o:spt="202" path="m,l,21600r21600,l21600,xe">
              <v:stroke joinstyle="miter"/>
              <v:path gradientshapeok="t" o:connecttype="rect"/>
            </v:shapetype>
            <v:shape id="Text Box 2" o:spid="_x0000_s1030" type="#_x0000_t202" style="position:absolute;margin-left:0;margin-top:0;width:449.6pt;height:269.75pt;rotation:-45;z-index:-2515886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" o:allowincell="f" filled="f" stroked="f">
              <o:lock v:ext="edit" shapetype="t"/>
              <v:textbox style="mso-fit-shape-to-text:t">
                <w:txbxContent>
                  <w:p w14:paraId="704185C6" w14:textId="77777777" w:rsidR="00753DEE" w:rsidRDefault="00000000">
                    <w:pPr>
                      <w:pStyle w:val="NormalWeb"/>
                      <w:spacing w:after="0"/>
                      <w:jc w:val="center"/>
                      <w:rPr>
                        <w:sz w:val="24"/>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p w14:paraId="495E289A" w14:textId="77777777" w:rsidR="00753DEE" w:rsidRDefault="00753DEE"/>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BB828" w14:textId="77777777" w:rsidR="00753DEE" w:rsidRDefault="00F02DE0">
    <w:pPr>
      <w:pStyle w:val="Header"/>
    </w:pPr>
    <w:r>
      <w:rPr>
        <w:noProof/>
        <w:lang w:eastAsia="en-GB"/>
      </w:rPr>
      <mc:AlternateContent>
        <mc:Choice Requires="wpg">
          <w:drawing>
            <wp:anchor distT="0" distB="0" distL="114300" distR="114300" simplePos="0" relativeHeight="251738112" behindDoc="1" locked="0" layoutInCell="1" allowOverlap="1" wp14:anchorId="345B4C51" wp14:editId="2D8B99CA">
              <wp:simplePos x="0" y="0"/>
              <wp:positionH relativeFrom="page">
                <wp:posOffset>6848223</wp:posOffset>
              </wp:positionH>
              <wp:positionV relativeFrom="page">
                <wp:posOffset>264</wp:posOffset>
              </wp:positionV>
              <wp:extent cx="720000" cy="720000"/>
              <wp:effectExtent l="0" t="0" r="4445" b="4445"/>
              <wp:wrapNone/>
              <wp:docPr id="1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go_suite.png"/>
                      <pic:cNvPicPr>
                        <a:picLocks noChangeAspect="1"/>
                      </pic:cNvPicPr>
                    </pic:nvPicPr>
                    <pic:blipFill rotWithShape="1">
                      <a:blip r:embed="rId1"/>
                      <a:stretch/>
                    </pic:blipFill>
                    <pic:spPr bwMode="auto">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 o:spid="_x0000_s11" type="#_x0000_t75" style="position:absolute;z-index:-251738112;o:allowoverlap:true;o:allowincell:true;mso-position-horizontal-relative:page;margin-left:539.23pt;mso-position-horizontal:absolute;mso-position-vertical-relative:page;margin-top:0.02pt;mso-position-vertical:absolute;width:56.69pt;height:56.69pt;mso-wrap-distance-left:9.00pt;mso-wrap-distance-top:0.00pt;mso-wrap-distance-right:9.00pt;mso-wrap-distance-bottom:0.00pt;z-index:1;" stroked="false">
              <v:imagedata r:id="rId2" o:title=""/>
              <o:lock v:ext="edit" rotation="t"/>
            </v:shape>
          </w:pict>
        </mc:Fallback>
      </mc:AlternateContent>
    </w:r>
  </w:p>
  <w:p w14:paraId="6DE4BE28" w14:textId="77777777" w:rsidR="00753DEE" w:rsidRDefault="00753DEE"/>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EC89" w14:textId="77777777" w:rsidR="00753DEE" w:rsidRDefault="00F02DE0">
    <w:pPr>
      <w:pStyle w:val="Header"/>
    </w:pPr>
    <w:r>
      <w:rPr>
        <w:noProof/>
        <w:lang w:eastAsia="en-GB"/>
      </w:rPr>
      <mc:AlternateContent>
        <mc:Choice Requires="wps">
          <w:drawing>
            <wp:anchor distT="0" distB="0" distL="114300" distR="114300" simplePos="0" relativeHeight="251729920" behindDoc="1" locked="0" layoutInCell="0" allowOverlap="1" wp14:anchorId="5F97B678" wp14:editId="5A3FFC7F">
              <wp:simplePos x="0" y="0"/>
              <wp:positionH relativeFrom="margin">
                <wp:align>center</wp:align>
              </wp:positionH>
              <wp:positionV relativeFrom="margin">
                <wp:align>center</wp:align>
              </wp:positionV>
              <wp:extent cx="5709920" cy="3425825"/>
              <wp:effectExtent l="0" t="1247775" r="0" b="717550"/>
              <wp:wrapNone/>
              <wp:docPr id="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wps:spPr>
                    <wps:txbx>
                      <w:txbxContent>
                        <w:p w14:paraId="0A55AEC7" w14:textId="77777777" w:rsidR="00753DEE" w:rsidRDefault="00F02DE0">
                          <w:pPr>
                            <w:pStyle w:val="NormalWeb"/>
                            <w:spacing w:after="0"/>
                            <w:jc w:val="center"/>
                            <w:rPr>
                              <w:sz w:val="24"/>
                            </w:rPr>
                          </w:pPr>
                          <w:r>
                            <w:rPr>
                              <w:rFonts w:ascii="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F97B678" id="_x0000_t202" coordsize="21600,21600" o:spt="202" path="m,l,21600r21600,l21600,xe">
              <v:stroke joinstyle="miter"/>
              <v:path gradientshapeok="t" o:connecttype="rect"/>
            </v:shapetype>
            <v:shape id="Text Box 1" o:spid="_x0000_s1031" type="#_x0000_t202" style="position:absolute;margin-left:0;margin-top:0;width:449.6pt;height:269.75pt;rotation:-45;z-index:-2515865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Kju9wEAAMw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" o:allowincell="f" filled="f" stroked="f">
              <o:lock v:ext="edit" shapetype="t"/>
              <v:textbox style="mso-fit-shape-to-text:t">
                <w:txbxContent>
                  <w:p w14:paraId="0A55AEC7" w14:textId="77777777" w:rsidR="00753DEE" w:rsidRDefault="00000000">
                    <w:pPr>
                      <w:pStyle w:val="NormalWeb"/>
                      <w:spacing w:after="0"/>
                      <w:jc w:val="center"/>
                      <w:rPr>
                        <w:sz w:val="24"/>
                      </w:rPr>
                    </w:pPr>
                    <w:r>
                      <w:rPr>
                        <w:rFonts w:ascii="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r>
      <w:rPr>
        <w:noProof/>
        <w:lang w:eastAsia="en-GB"/>
      </w:rPr>
      <mc:AlternateContent>
        <mc:Choice Requires="wpg">
          <w:drawing>
            <wp:anchor distT="0" distB="0" distL="114300" distR="114300" simplePos="0" relativeHeight="251735040" behindDoc="1" locked="0" layoutInCell="1" allowOverlap="1" wp14:anchorId="63C68B59" wp14:editId="52DCAECC">
              <wp:simplePos x="0" y="0"/>
              <wp:positionH relativeFrom="page">
                <wp:posOffset>6827653</wp:posOffset>
              </wp:positionH>
              <wp:positionV relativeFrom="page">
                <wp:posOffset>0</wp:posOffset>
              </wp:positionV>
              <wp:extent cx="720000" cy="720000"/>
              <wp:effectExtent l="0" t="0" r="4445" b="4445"/>
              <wp:wrapNone/>
              <wp:docPr id="19"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logo_suite.png"/>
                      <pic:cNvPicPr>
                        <a:picLocks noChangeAspect="1"/>
                      </pic:cNvPicPr>
                    </pic:nvPicPr>
                    <pic:blipFill rotWithShape="1">
                      <a:blip r:embed="rId1"/>
                      <a:stretch/>
                    </pic:blipFill>
                    <pic:spPr bwMode="auto">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 o:spid="_x0000_s14" type="#_x0000_t75" style="position:absolute;z-index:-251735040;o:allowoverlap:true;o:allowincell:true;mso-position-horizontal-relative:page;margin-left:537.61pt;mso-position-horizontal:absolute;mso-position-vertical-relative:page;margin-top:0.00pt;mso-position-vertical:absolute;width:56.69pt;height:56.69pt;mso-wrap-distance-left:9.00pt;mso-wrap-distance-top:0.00pt;mso-wrap-distance-right:9.00pt;mso-wrap-distance-bottom:0.00pt;z-index:1;" stroked="false">
              <v:imagedata r:id="rId2" o:title=""/>
              <o:lock v:ext="edit" rotation="t"/>
            </v:shape>
          </w:pict>
        </mc:Fallback>
      </mc:AlternateContent>
    </w:r>
  </w:p>
  <w:p w14:paraId="4CF34073" w14:textId="77777777" w:rsidR="00753DEE" w:rsidRDefault="00753DEE">
    <w:pPr>
      <w:pStyle w:val="Header"/>
    </w:pPr>
  </w:p>
  <w:p w14:paraId="2AFC5F35" w14:textId="77777777" w:rsidR="00753DEE" w:rsidRDefault="00753DEE">
    <w:pPr>
      <w:pStyle w:val="Header"/>
    </w:pPr>
  </w:p>
  <w:p w14:paraId="2EDD4F85" w14:textId="77777777" w:rsidR="00753DEE" w:rsidRDefault="00753D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853CF" w14:textId="77777777" w:rsidR="00753DEE" w:rsidRDefault="00F02DE0">
    <w:pPr>
      <w:pStyle w:val="Header"/>
      <w:jc w:val="right"/>
      <w:rPr>
        <w:lang w:eastAsia="ko-KR"/>
      </w:rPr>
    </w:pPr>
    <w:r>
      <w:rPr>
        <w:noProof/>
        <w:sz w:val="22"/>
        <w:lang w:eastAsia="en-GB"/>
      </w:rPr>
      <mc:AlternateContent>
        <mc:Choice Requires="wpg">
          <w:drawing>
            <wp:anchor distT="0" distB="0" distL="114300" distR="114300" simplePos="0" relativeHeight="251657214" behindDoc="1" locked="0" layoutInCell="1" allowOverlap="1" wp14:anchorId="1DF20490" wp14:editId="68A5CA79">
              <wp:simplePos x="0" y="0"/>
              <wp:positionH relativeFrom="page">
                <wp:posOffset>2880360</wp:posOffset>
              </wp:positionH>
              <wp:positionV relativeFrom="page">
                <wp:posOffset>180340</wp:posOffset>
              </wp:positionV>
              <wp:extent cx="1803600" cy="1440000"/>
              <wp:effectExtent l="0" t="0" r="6350" b="8255"/>
              <wp:wrapNone/>
              <wp:docPr id="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tdl_iala.png"/>
                      <pic:cNvPicPr>
                        <a:picLocks noChangeAspect="1"/>
                      </pic:cNvPicPr>
                    </pic:nvPicPr>
                    <pic:blipFill rotWithShape="1">
                      <a:blip r:embed="rId1"/>
                      <a:stretch/>
                    </pic:blipFill>
                    <pic:spPr bwMode="auto">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7214;o:allowoverlap:true;o:allowincell:true;mso-position-horizontal-relative:page;margin-left:226.80pt;mso-position-horizontal:absolute;mso-position-vertical-relative:page;margin-top:14.20pt;mso-position-vertical:absolute;width:142.02pt;height:113.39pt;mso-wrap-distance-left:9.00pt;mso-wrap-distance-top:0.00pt;mso-wrap-distance-right:9.00pt;mso-wrap-distance-bottom:0.00pt;z-index:1;" stroked="false">
              <v:imagedata r:id="rId2" o:title=""/>
              <o:lock v:ext="edit" rotation="t"/>
            </v:shape>
          </w:pict>
        </mc:Fallback>
      </mc:AlternateContent>
    </w:r>
  </w:p>
  <w:p w14:paraId="5343FC39" w14:textId="77777777" w:rsidR="00753DEE" w:rsidRDefault="00753DEE">
    <w:pPr>
      <w:pStyle w:val="Header"/>
    </w:pPr>
  </w:p>
  <w:p w14:paraId="722FF03E" w14:textId="77777777" w:rsidR="00753DEE" w:rsidRDefault="00753DEE">
    <w:pPr>
      <w:pStyle w:val="Header"/>
    </w:pPr>
  </w:p>
  <w:p w14:paraId="34207D0D" w14:textId="77777777" w:rsidR="00753DEE" w:rsidRDefault="00753DEE">
    <w:pPr>
      <w:pStyle w:val="Header"/>
    </w:pPr>
  </w:p>
  <w:p w14:paraId="5D6A1F62" w14:textId="77777777" w:rsidR="00753DEE" w:rsidRDefault="00753DEE">
    <w:pPr>
      <w:pStyle w:val="Header"/>
    </w:pPr>
  </w:p>
  <w:p w14:paraId="4B42CD44" w14:textId="77777777" w:rsidR="00753DEE" w:rsidRDefault="00753DEE">
    <w:pPr>
      <w:pStyle w:val="Header"/>
    </w:pPr>
  </w:p>
  <w:p w14:paraId="5CC97B4C" w14:textId="77777777" w:rsidR="00753DEE" w:rsidRDefault="00753DEE">
    <w:pPr>
      <w:pStyle w:val="Header"/>
    </w:pPr>
  </w:p>
  <w:p w14:paraId="388C0B65" w14:textId="77777777" w:rsidR="00753DEE" w:rsidRDefault="00F02DE0">
    <w:pPr>
      <w:pStyle w:val="Header"/>
      <w:spacing w:line="360" w:lineRule="exact"/>
    </w:pPr>
    <w:r>
      <w:rPr>
        <w:noProof/>
        <w:lang w:eastAsia="en-GB"/>
      </w:rPr>
      <mc:AlternateContent>
        <mc:Choice Requires="wpg">
          <w:drawing>
            <wp:anchor distT="0" distB="0" distL="114300" distR="114300" simplePos="0" relativeHeight="251656189" behindDoc="1" locked="0" layoutInCell="1" allowOverlap="1" wp14:anchorId="3B556CB5" wp14:editId="5738330B">
              <wp:simplePos x="0" y="0"/>
              <wp:positionH relativeFrom="page">
                <wp:posOffset>12717</wp:posOffset>
              </wp:positionH>
              <wp:positionV relativeFrom="page">
                <wp:posOffset>1499887</wp:posOffset>
              </wp:positionV>
              <wp:extent cx="7555865" cy="2339975"/>
              <wp:effectExtent l="0" t="0" r="6985" b="3175"/>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ndeau_1.png"/>
                      <pic:cNvPicPr>
                        <a:picLocks noChangeAspect="1"/>
                      </pic:cNvPicPr>
                    </pic:nvPicPr>
                    <pic:blipFill rotWithShape="1">
                      <a:blip r:embed="rId3"/>
                      <a:stretch/>
                    </pic:blipFill>
                    <pic:spPr bwMode="auto">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6189;o:allowoverlap:true;o:allowincell:true;mso-position-horizontal-relative:page;margin-left:1.00pt;mso-position-horizontal:absolute;mso-position-vertical-relative:page;margin-top:118.10pt;mso-position-vertical:absolute;width:594.95pt;height:184.25pt;mso-wrap-distance-left:9.00pt;mso-wrap-distance-top:0.00pt;mso-wrap-distance-right:9.00pt;mso-wrap-distance-bottom:0.00pt;z-index:1;" stroked="false">
              <v:imagedata r:id="rId4" o:title=""/>
              <o:lock v:ext="edit" rotation="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E0AAA" w14:textId="77777777" w:rsidR="00753DEE" w:rsidRDefault="00F02DE0">
    <w:pPr>
      <w:pStyle w:val="Header"/>
    </w:pPr>
    <w:r>
      <w:rPr>
        <w:noProof/>
        <w:lang w:eastAsia="en-GB"/>
      </w:rPr>
      <mc:AlternateContent>
        <mc:Choice Requires="wpg">
          <w:drawing>
            <wp:anchor distT="0" distB="0" distL="114300" distR="114300" simplePos="0" relativeHeight="251688960" behindDoc="1" locked="0" layoutInCell="1" allowOverlap="1" wp14:anchorId="4B7C4FE7" wp14:editId="7B123ED6">
              <wp:simplePos x="0" y="0"/>
              <wp:positionH relativeFrom="page">
                <wp:posOffset>6827653</wp:posOffset>
              </wp:positionH>
              <wp:positionV relativeFrom="page">
                <wp:posOffset>0</wp:posOffset>
              </wp:positionV>
              <wp:extent cx="720000" cy="720000"/>
              <wp:effectExtent l="0" t="0" r="4445" b="4445"/>
              <wp:wrapNone/>
              <wp:docPr id="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_suite.png"/>
                      <pic:cNvPicPr>
                        <a:picLocks noChangeAspect="1"/>
                      </pic:cNvPicPr>
                    </pic:nvPicPr>
                    <pic:blipFill rotWithShape="1">
                      <a:blip r:embed="rId1"/>
                      <a:stretch/>
                    </pic:blipFill>
                    <pic:spPr bwMode="auto">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position:absolute;z-index:-251688960;o:allowoverlap:true;o:allowincell:true;mso-position-horizontal-relative:page;margin-left:537.61pt;mso-position-horizontal:absolute;mso-position-vertical-relative:page;margin-top:0.00pt;mso-position-vertical:absolute;width:56.69pt;height:56.69pt;mso-wrap-distance-left:9.00pt;mso-wrap-distance-top:0.00pt;mso-wrap-distance-right:9.00pt;mso-wrap-distance-bottom:0.00pt;z-index:1;" stroked="false">
              <v:imagedata r:id="rId2" o:title=""/>
              <o:lock v:ext="edit" rotation="t"/>
            </v:shape>
          </w:pict>
        </mc:Fallback>
      </mc:AlternateContent>
    </w:r>
  </w:p>
  <w:p w14:paraId="381BDC92" w14:textId="77777777" w:rsidR="00753DEE" w:rsidRDefault="00753DEE">
    <w:pPr>
      <w:pStyle w:val="Header"/>
    </w:pPr>
  </w:p>
  <w:p w14:paraId="1FE9AB73" w14:textId="77777777" w:rsidR="00753DEE" w:rsidRDefault="00753D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EDA3" w14:textId="77777777" w:rsidR="00753DEE" w:rsidRDefault="00F02DE0">
    <w:pPr>
      <w:pStyle w:val="Header"/>
    </w:pPr>
    <w:r>
      <w:rPr>
        <w:noProof/>
      </w:rPr>
      <mc:AlternateContent>
        <mc:Choice Requires="wps">
          <w:drawing>
            <wp:anchor distT="0" distB="0" distL="114300" distR="114300" simplePos="0" relativeHeight="251604992" behindDoc="1" locked="0" layoutInCell="0" allowOverlap="1" wp14:anchorId="38BF5779" wp14:editId="1F8B8FC2">
              <wp:simplePos x="0" y="0"/>
              <wp:positionH relativeFrom="margin">
                <wp:align>center</wp:align>
              </wp:positionH>
              <wp:positionV relativeFrom="margin">
                <wp:align>center</wp:align>
              </wp:positionV>
              <wp:extent cx="5709920" cy="3425825"/>
              <wp:effectExtent l="0" t="0" r="0" b="0"/>
              <wp:wrapNone/>
              <wp:docPr id="10" name="_x0000_s1029"/>
              <wp:cNvGraphicFramePr/>
              <a:graphic xmlns:a="http://schemas.openxmlformats.org/drawingml/2006/main">
                <a:graphicData uri="http://schemas.microsoft.com/office/word/2010/wordprocessingShape">
                  <wps:wsp>
                    <wps:cNvSpPr/>
                    <wps:spPr bwMode="auto">
                      <a:xfrm rot="18900000">
                        <a:off x="0" y="0"/>
                        <a:ext cx="5709920" cy="3425825"/>
                      </a:xfrm>
                      <a:prstGeom prst="rect">
                        <a:avLst/>
                      </a:prstGeom>
                      <a:noFill/>
                      <a:ln>
                        <a:noFill/>
                      </a:ln>
                    </wps:spPr>
                    <wps:txbx>
                      <w:txbxContent>
                        <w:p w14:paraId="76372234" w14:textId="77777777" w:rsidR="00753DEE" w:rsidRDefault="00F02DE0">
                          <w:pPr>
                            <w:jc w:val="cente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pPr>
                          <w: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t>DRAFT</w:t>
                          </w:r>
                        </w:p>
                      </w:txbxContent>
                    </wps:txbx>
                    <wps:bodyPr wrap="square" lIns="0" tIns="0" rIns="0" bIns="0" numCol="1" fromWordArt="1">
                      <a:prstTxWarp prst="textPlain">
                        <a:avLst>
                          <a:gd name="adj" fmla="val 50000"/>
                        </a:avLst>
                      </a:prstTxWarp>
                      <a:normAutofit/>
                    </wps:bodyPr>
                  </wps:wsp>
                </a:graphicData>
              </a:graphic>
            </wp:anchor>
          </w:drawing>
        </mc:Choice>
        <mc:Fallback>
          <w:pict>
            <v:rect w14:anchorId="38BF5779" id="_x0000_s1029" o:spid="_x0000_s1027" style="position:absolute;margin-left:0;margin-top:0;width:449.6pt;height:269.75pt;rotation:-45;z-index:-251711488;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" o:allowincell="f" filled="f" stroked="f">
              <v:textbox inset="0,0,0,0">
                <w:txbxContent>
                  <w:p w14:paraId="76372234" w14:textId="77777777" w:rsidR="00753DEE" w:rsidRDefault="00000000">
                    <w:pPr>
                      <w:jc w:val="cente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pPr>
                    <w: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t>DRAFT</w:t>
                    </w:r>
                  </w:p>
                </w:txbxContent>
              </v:textbox>
              <w10:wrap anchorx="margin" anchory="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651AC" w14:textId="77777777" w:rsidR="00753DEE" w:rsidRDefault="00F02DE0">
    <w:pPr>
      <w:pStyle w:val="Header"/>
      <w:tabs>
        <w:tab w:val="right" w:pos="10205"/>
      </w:tabs>
    </w:pPr>
    <w:r>
      <w:rPr>
        <w:noProof/>
        <w:lang w:eastAsia="en-GB"/>
      </w:rPr>
      <mc:AlternateContent>
        <mc:Choice Requires="wpg">
          <w:drawing>
            <wp:anchor distT="0" distB="0" distL="114300" distR="114300" simplePos="0" relativeHeight="251658752" behindDoc="1" locked="0" layoutInCell="1" allowOverlap="1" wp14:anchorId="4816C4F1" wp14:editId="2C8E259F">
              <wp:simplePos x="0" y="0"/>
              <wp:positionH relativeFrom="page">
                <wp:posOffset>6840855</wp:posOffset>
              </wp:positionH>
              <wp:positionV relativeFrom="page">
                <wp:posOffset>0</wp:posOffset>
              </wp:positionV>
              <wp:extent cx="720000" cy="720000"/>
              <wp:effectExtent l="0" t="0" r="4445" b="4445"/>
              <wp:wrapNone/>
              <wp:docPr id="9"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_suite.png"/>
                      <pic:cNvPicPr>
                        <a:picLocks noChangeAspect="1"/>
                      </pic:cNvPicPr>
                    </pic:nvPicPr>
                    <pic:blipFill rotWithShape="1">
                      <a:blip r:embed="rId1"/>
                      <a:stretch/>
                    </pic:blipFill>
                    <pic:spPr bwMode="auto">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position:absolute;z-index:-251658752;o:allowoverlap:true;o:allowincell:true;mso-position-horizontal-relative:page;margin-left:538.65pt;mso-position-horizontal:absolute;mso-position-vertical-relative:page;margin-top:0.00pt;mso-position-vertical:absolute;width:56.69pt;height:56.69pt;mso-wrap-distance-left:9.00pt;mso-wrap-distance-top:0.00pt;mso-wrap-distance-right:9.00pt;mso-wrap-distance-bottom:0.00pt;z-index:1;" stroked="false">
              <v:imagedata r:id="rId2" o:title=""/>
              <o:lock v:ext="edit" rotation="t"/>
            </v:shape>
          </w:pict>
        </mc:Fallback>
      </mc:AlternateContent>
    </w:r>
    <w:r>
      <w:tab/>
    </w:r>
  </w:p>
  <w:p w14:paraId="7718017B" w14:textId="77777777" w:rsidR="00753DEE" w:rsidRDefault="00753DEE">
    <w:pPr>
      <w:pStyle w:val="Header"/>
    </w:pPr>
  </w:p>
  <w:p w14:paraId="6EFDCF41" w14:textId="77777777" w:rsidR="00753DEE" w:rsidRDefault="00753DEE">
    <w:pPr>
      <w:pStyle w:val="Header"/>
    </w:pPr>
  </w:p>
  <w:p w14:paraId="1A04EF52" w14:textId="77777777" w:rsidR="00753DEE" w:rsidRDefault="00753DEE">
    <w:pPr>
      <w:pStyle w:val="Header"/>
    </w:pPr>
  </w:p>
  <w:p w14:paraId="4A5DD642" w14:textId="77777777" w:rsidR="00753DEE" w:rsidRDefault="00753DEE">
    <w:pPr>
      <w:pStyle w:val="Header"/>
    </w:pPr>
  </w:p>
  <w:p w14:paraId="0CF18808" w14:textId="77777777" w:rsidR="00753DEE" w:rsidRDefault="00F02DE0">
    <w:pPr>
      <w:pStyle w:val="Contents"/>
    </w:pPr>
    <w:r>
      <w:t>DOCUMENT REVISION</w:t>
    </w:r>
  </w:p>
  <w:p w14:paraId="28FC5D85" w14:textId="77777777" w:rsidR="00753DEE" w:rsidRDefault="00753DEE">
    <w:pPr>
      <w:pStyle w:val="Header"/>
    </w:pPr>
  </w:p>
  <w:p w14:paraId="749C7D26" w14:textId="77777777" w:rsidR="00753DEE" w:rsidRDefault="00753DEE">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23A49" w14:textId="77777777" w:rsidR="00753DEE" w:rsidRDefault="00F02DE0">
    <w:pPr>
      <w:pStyle w:val="Header"/>
    </w:pPr>
    <w:r>
      <w:rPr>
        <w:noProof/>
      </w:rPr>
      <mc:AlternateContent>
        <mc:Choice Requires="wps">
          <w:drawing>
            <wp:anchor distT="0" distB="0" distL="114300" distR="114300" simplePos="0" relativeHeight="251607040" behindDoc="1" locked="0" layoutInCell="0" allowOverlap="1" wp14:anchorId="644616F5" wp14:editId="6FEB98CE">
              <wp:simplePos x="0" y="0"/>
              <wp:positionH relativeFrom="margin">
                <wp:align>center</wp:align>
              </wp:positionH>
              <wp:positionV relativeFrom="margin">
                <wp:align>center</wp:align>
              </wp:positionV>
              <wp:extent cx="5709920" cy="3425825"/>
              <wp:effectExtent l="0" t="0" r="0" b="0"/>
              <wp:wrapNone/>
              <wp:docPr id="11" name="_x0000_s1028"/>
              <wp:cNvGraphicFramePr/>
              <a:graphic xmlns:a="http://schemas.openxmlformats.org/drawingml/2006/main">
                <a:graphicData uri="http://schemas.microsoft.com/office/word/2010/wordprocessingShape">
                  <wps:wsp>
                    <wps:cNvSpPr/>
                    <wps:spPr bwMode="auto">
                      <a:xfrm rot="18900000">
                        <a:off x="0" y="0"/>
                        <a:ext cx="5709920" cy="3425825"/>
                      </a:xfrm>
                      <a:prstGeom prst="rect">
                        <a:avLst/>
                      </a:prstGeom>
                      <a:noFill/>
                      <a:ln>
                        <a:noFill/>
                      </a:ln>
                    </wps:spPr>
                    <wps:txbx>
                      <w:txbxContent>
                        <w:p w14:paraId="6ACABF66" w14:textId="77777777" w:rsidR="00753DEE" w:rsidRDefault="00F02DE0">
                          <w:pPr>
                            <w:jc w:val="cente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pPr>
                          <w: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t>DRAFT</w:t>
                          </w:r>
                        </w:p>
                      </w:txbxContent>
                    </wps:txbx>
                    <wps:bodyPr wrap="square" lIns="0" tIns="0" rIns="0" bIns="0" numCol="1" fromWordArt="1">
                      <a:prstTxWarp prst="textPlain">
                        <a:avLst>
                          <a:gd name="adj" fmla="val 50000"/>
                        </a:avLst>
                      </a:prstTxWarp>
                      <a:normAutofit/>
                    </wps:bodyPr>
                  </wps:wsp>
                </a:graphicData>
              </a:graphic>
            </wp:anchor>
          </w:drawing>
        </mc:Choice>
        <mc:Fallback>
          <w:pict>
            <v:rect w14:anchorId="644616F5" id="_x0000_s1028" o:spid="_x0000_s1028" style="position:absolute;margin-left:0;margin-top:0;width:449.6pt;height:269.75pt;rotation:-45;z-index:-251709440;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" o:allowincell="f" filled="f" stroked="f">
              <v:textbox inset="0,0,0,0">
                <w:txbxContent>
                  <w:p w14:paraId="6ACABF66" w14:textId="77777777" w:rsidR="00753DEE" w:rsidRDefault="00000000">
                    <w:pPr>
                      <w:jc w:val="cente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pPr>
                    <w: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t>DRAFT</w:t>
                    </w:r>
                  </w:p>
                </w:txbxContent>
              </v:textbox>
              <w10:wrap anchorx="margin" anchory="margin"/>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5DF25" w14:textId="77777777" w:rsidR="00753DEE" w:rsidRDefault="00F02DE0">
    <w:pPr>
      <w:pStyle w:val="Header"/>
    </w:pPr>
    <w:r>
      <w:rPr>
        <w:noProof/>
      </w:rPr>
      <mc:AlternateContent>
        <mc:Choice Requires="wps">
          <w:drawing>
            <wp:anchor distT="0" distB="0" distL="114300" distR="114300" simplePos="0" relativeHeight="251598848" behindDoc="1" locked="0" layoutInCell="0" allowOverlap="1" wp14:anchorId="3C5214F1" wp14:editId="33FA3000">
              <wp:simplePos x="0" y="0"/>
              <wp:positionH relativeFrom="margin">
                <wp:align>center</wp:align>
              </wp:positionH>
              <wp:positionV relativeFrom="margin">
                <wp:align>center</wp:align>
              </wp:positionV>
              <wp:extent cx="5709920" cy="3425825"/>
              <wp:effectExtent l="0" t="0" r="0" b="0"/>
              <wp:wrapNone/>
              <wp:docPr id="13" name="_x0000_s1032"/>
              <wp:cNvGraphicFramePr/>
              <a:graphic xmlns:a="http://schemas.openxmlformats.org/drawingml/2006/main">
                <a:graphicData uri="http://schemas.microsoft.com/office/word/2010/wordprocessingShape">
                  <wps:wsp>
                    <wps:cNvSpPr/>
                    <wps:spPr bwMode="auto">
                      <a:xfrm rot="18900000">
                        <a:off x="0" y="0"/>
                        <a:ext cx="5709920" cy="3425825"/>
                      </a:xfrm>
                      <a:prstGeom prst="rect">
                        <a:avLst/>
                      </a:prstGeom>
                      <a:noFill/>
                      <a:ln>
                        <a:noFill/>
                      </a:ln>
                    </wps:spPr>
                    <wps:txbx>
                      <w:txbxContent>
                        <w:p w14:paraId="2C7AFEEF" w14:textId="77777777" w:rsidR="00753DEE" w:rsidRDefault="00F02DE0">
                          <w:pPr>
                            <w:jc w:val="cente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pPr>
                          <w: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t>DRAFT</w:t>
                          </w:r>
                        </w:p>
                      </w:txbxContent>
                    </wps:txbx>
                    <wps:bodyPr wrap="square" lIns="0" tIns="0" rIns="0" bIns="0" numCol="1" fromWordArt="1">
                      <a:prstTxWarp prst="textPlain">
                        <a:avLst>
                          <a:gd name="adj" fmla="val 50000"/>
                        </a:avLst>
                      </a:prstTxWarp>
                      <a:normAutofit/>
                    </wps:bodyPr>
                  </wps:wsp>
                </a:graphicData>
              </a:graphic>
            </wp:anchor>
          </w:drawing>
        </mc:Choice>
        <mc:Fallback>
          <w:pict>
            <v:rect w14:anchorId="3C5214F1" id="_x0000_s1032" o:spid="_x0000_s1029" style="position:absolute;margin-left:0;margin-top:0;width:449.6pt;height:269.75pt;rotation:-45;z-index:-251717632;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" o:allowincell="f" filled="f" stroked="f">
              <v:textbox inset="0,0,0,0">
                <w:txbxContent>
                  <w:p w14:paraId="2C7AFEEF" w14:textId="77777777" w:rsidR="00753DEE" w:rsidRDefault="00000000">
                    <w:pPr>
                      <w:jc w:val="cente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pPr>
                    <w:r>
                      <w:rPr>
                        <w:rFonts w:ascii="Calibri" w:hAnsi="Calibri"/>
                        <w:color w:val="C0C0C0"/>
                        <w:sz w:val="2"/>
                        <w:szCs w:val="2"/>
                        <w14:textOutline w14:w="12700" w14:cap="flat" w14:cmpd="sng" w14:algn="ctr">
                          <w14:noFill/>
                          <w14:prstDash w14:val="solid"/>
                          <w14:bevel/>
                        </w14:textOutline>
                        <w14:textFill>
                          <w14:solidFill>
                            <w14:srgbClr w14:val="C0C0C0">
                              <w14:alpha w14:val="49803"/>
                            </w14:srgbClr>
                          </w14:solidFill>
                        </w14:textFill>
                      </w:rPr>
                      <w:t>DRAFT</w:t>
                    </w:r>
                  </w:p>
                </w:txbxContent>
              </v:textbox>
              <w10:wrap anchorx="margin" anchory="margin"/>
            </v:rec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23C2" w14:textId="77777777" w:rsidR="00753DEE" w:rsidRDefault="00F02DE0">
    <w:pPr>
      <w:pStyle w:val="Header"/>
    </w:pPr>
    <w:r>
      <w:rPr>
        <w:noProof/>
        <w:lang w:eastAsia="en-GB"/>
      </w:rPr>
      <mc:AlternateContent>
        <mc:Choice Requires="wpg">
          <w:drawing>
            <wp:anchor distT="0" distB="0" distL="114300" distR="114300" simplePos="0" relativeHeight="251653632" behindDoc="1" locked="0" layoutInCell="1" allowOverlap="1" wp14:anchorId="201050A9" wp14:editId="2CF32303">
              <wp:simplePos x="0" y="0"/>
              <wp:positionH relativeFrom="page">
                <wp:posOffset>6840855</wp:posOffset>
              </wp:positionH>
              <wp:positionV relativeFrom="page">
                <wp:posOffset>0</wp:posOffset>
              </wp:positionV>
              <wp:extent cx="720000" cy="720000"/>
              <wp:effectExtent l="0" t="0" r="4445" b="4445"/>
              <wp:wrapNone/>
              <wp:docPr id="12"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_suite.png"/>
                      <pic:cNvPicPr>
                        <a:picLocks noChangeAspect="1"/>
                      </pic:cNvPicPr>
                    </pic:nvPicPr>
                    <pic:blipFill rotWithShape="1">
                      <a:blip r:embed="rId1"/>
                      <a:stretch/>
                    </pic:blipFill>
                    <pic:spPr bwMode="auto">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position:absolute;z-index:-251653632;o:allowoverlap:true;o:allowincell:true;mso-position-horizontal-relative:page;margin-left:538.65pt;mso-position-horizontal:absolute;mso-position-vertical-relative:page;margin-top:0.00pt;mso-position-vertical:absolute;width:56.69pt;height:56.69pt;mso-wrap-distance-left:9.00pt;mso-wrap-distance-top:0.00pt;mso-wrap-distance-right:9.00pt;mso-wrap-distance-bottom:0.00pt;z-index:1;" stroked="false">
              <v:imagedata r:id="rId2" o:title=""/>
              <o:lock v:ext="edit" rotation="t"/>
            </v:shape>
          </w:pict>
        </mc:Fallback>
      </mc:AlternateContent>
    </w:r>
  </w:p>
  <w:p w14:paraId="29099F1F" w14:textId="77777777" w:rsidR="00753DEE" w:rsidRDefault="00753DEE">
    <w:pPr>
      <w:pStyle w:val="Header"/>
    </w:pPr>
  </w:p>
  <w:p w14:paraId="712A3356" w14:textId="77777777" w:rsidR="00753DEE" w:rsidRDefault="00753DEE">
    <w:pPr>
      <w:pStyle w:val="Header"/>
    </w:pPr>
  </w:p>
  <w:p w14:paraId="7B006A97" w14:textId="77777777" w:rsidR="00753DEE" w:rsidRDefault="00753DEE">
    <w:pPr>
      <w:pStyle w:val="Header"/>
    </w:pPr>
  </w:p>
  <w:p w14:paraId="5A0628E7" w14:textId="77777777" w:rsidR="00753DEE" w:rsidRDefault="00753DEE">
    <w:pPr>
      <w:pStyle w:val="Header"/>
    </w:pPr>
  </w:p>
  <w:p w14:paraId="395BFE1C" w14:textId="77777777" w:rsidR="00753DEE" w:rsidRDefault="00F02DE0">
    <w:pPr>
      <w:pStyle w:val="Contents"/>
    </w:pPr>
    <w:r>
      <w:t>CONTENTS</w:t>
    </w:r>
  </w:p>
  <w:p w14:paraId="193049FF" w14:textId="77777777" w:rsidR="00753DEE" w:rsidRDefault="00753DEE">
    <w:pPr>
      <w:pStyle w:val="Header"/>
      <w:spacing w:line="140" w:lineRule="exact"/>
    </w:pPr>
  </w:p>
  <w:p w14:paraId="6C937C99" w14:textId="77777777" w:rsidR="00753DEE" w:rsidRDefault="00753DEE">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4A81C" w14:textId="77777777" w:rsidR="00753DEE" w:rsidRDefault="00F02DE0">
    <w:pPr>
      <w:pStyle w:val="Header"/>
    </w:pPr>
    <w:r>
      <w:rPr>
        <w:noProof/>
        <w:lang w:eastAsia="en-GB"/>
      </w:rPr>
      <mc:AlternateContent>
        <mc:Choice Requires="wpg">
          <w:drawing>
            <wp:anchor distT="0" distB="0" distL="114300" distR="114300" simplePos="0" relativeHeight="251661824" behindDoc="1" locked="0" layoutInCell="1" allowOverlap="1" wp14:anchorId="0692E5BD" wp14:editId="4C842740">
              <wp:simplePos x="0" y="0"/>
              <wp:positionH relativeFrom="page">
                <wp:posOffset>6840855</wp:posOffset>
              </wp:positionH>
              <wp:positionV relativeFrom="page">
                <wp:posOffset>0</wp:posOffset>
              </wp:positionV>
              <wp:extent cx="720000" cy="720000"/>
              <wp:effectExtent l="0" t="0" r="4445" b="4445"/>
              <wp:wrapNone/>
              <wp:docPr id="1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_suite.png"/>
                      <pic:cNvPicPr>
                        <a:picLocks noChangeAspect="1"/>
                      </pic:cNvPicPr>
                    </pic:nvPicPr>
                    <pic:blipFill rotWithShape="1">
                      <a:blip r:embed="rId1"/>
                      <a:stretch/>
                    </pic:blipFill>
                    <pic:spPr bwMode="auto">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 o:spid="_x0000_s9" type="#_x0000_t75" style="position:absolute;z-index:-251661824;o:allowoverlap:true;o:allowincell:true;mso-position-horizontal-relative:page;margin-left:538.65pt;mso-position-horizontal:absolute;mso-position-vertical-relative:page;margin-top:0.00pt;mso-position-vertical:absolute;width:56.69pt;height:56.69pt;mso-wrap-distance-left:9.00pt;mso-wrap-distance-top:0.00pt;mso-wrap-distance-right:9.00pt;mso-wrap-distance-bottom:0.00pt;z-index:1;" stroked="false">
              <v:imagedata r:id="rId2" o:title=""/>
              <o:lock v:ext="edit" rotation="t"/>
            </v:shape>
          </w:pict>
        </mc:Fallback>
      </mc:AlternateContent>
    </w:r>
  </w:p>
  <w:p w14:paraId="6672337B" w14:textId="77777777" w:rsidR="00753DEE" w:rsidRDefault="00753DEE">
    <w:pPr>
      <w:pStyle w:val="Header"/>
    </w:pPr>
  </w:p>
  <w:p w14:paraId="462DD285" w14:textId="77777777" w:rsidR="00753DEE" w:rsidRDefault="00753DEE">
    <w:pPr>
      <w:pStyle w:val="Header"/>
    </w:pPr>
  </w:p>
  <w:p w14:paraId="66F2142D" w14:textId="77777777" w:rsidR="00753DEE" w:rsidRDefault="00753DEE">
    <w:pPr>
      <w:pStyle w:val="Header"/>
    </w:pPr>
  </w:p>
  <w:p w14:paraId="6FFCF6B5" w14:textId="77777777" w:rsidR="00753DEE" w:rsidRDefault="00753DEE">
    <w:pPr>
      <w:pStyle w:val="Header"/>
    </w:pPr>
  </w:p>
  <w:p w14:paraId="56918154" w14:textId="77777777" w:rsidR="00753DEE" w:rsidRDefault="00F02DE0">
    <w:pPr>
      <w:pStyle w:val="Contents"/>
    </w:pPr>
    <w:r>
      <w:t>CONTENTS</w:t>
    </w:r>
  </w:p>
  <w:p w14:paraId="271B4BDC" w14:textId="77777777" w:rsidR="00753DEE" w:rsidRDefault="00753DEE">
    <w:pPr>
      <w:pStyle w:val="Header"/>
    </w:pPr>
  </w:p>
  <w:p w14:paraId="5D39F051" w14:textId="77777777" w:rsidR="00753DEE" w:rsidRDefault="00753DEE">
    <w:pPr>
      <w:pStyle w:val="Header"/>
      <w:spacing w:line="140" w:lineRule="exact"/>
    </w:pPr>
  </w:p>
  <w:p w14:paraId="12C53283" w14:textId="77777777" w:rsidR="00753DEE" w:rsidRDefault="00F02DE0">
    <w:pPr>
      <w:pStyle w:val="Header"/>
    </w:pPr>
    <w:r>
      <w:rPr>
        <w:noProof/>
        <w:lang w:eastAsia="en-GB"/>
      </w:rPr>
      <mc:AlternateContent>
        <mc:Choice Requires="wpg">
          <w:drawing>
            <wp:anchor distT="0" distB="0" distL="114300" distR="114300" simplePos="0" relativeHeight="251657728" behindDoc="1" locked="0" layoutInCell="1" allowOverlap="1" wp14:anchorId="04E2A6CF" wp14:editId="0625FD8A">
              <wp:simplePos x="0" y="0"/>
              <wp:positionH relativeFrom="page">
                <wp:posOffset>6827653</wp:posOffset>
              </wp:positionH>
              <wp:positionV relativeFrom="page">
                <wp:posOffset>0</wp:posOffset>
              </wp:positionV>
              <wp:extent cx="720000" cy="720000"/>
              <wp:effectExtent l="0" t="0" r="4445" b="4445"/>
              <wp:wrapNone/>
              <wp:docPr id="1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logo_suite.png"/>
                      <pic:cNvPicPr>
                        <a:picLocks noChangeAspect="1"/>
                      </pic:cNvPicPr>
                    </pic:nvPicPr>
                    <pic:blipFill rotWithShape="1">
                      <a:blip r:embed="rId1"/>
                      <a:stretch/>
                    </pic:blipFill>
                    <pic:spPr bwMode="auto">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 o:spid="_x0000_s10" type="#_x0000_t75" style="position:absolute;z-index:-251657728;o:allowoverlap:true;o:allowincell:true;mso-position-horizontal-relative:page;margin-left:537.61pt;mso-position-horizontal:absolute;mso-position-vertical-relative:page;margin-top:0.00pt;mso-position-vertical:absolute;width:56.69pt;height:56.69pt;mso-wrap-distance-left:9.00pt;mso-wrap-distance-top:0.00pt;mso-wrap-distance-right:9.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B9EAD95E"/>
    <w:lvl w:ilvl="0">
      <w:start w:val="1"/>
      <w:numFmt w:val="decimal"/>
      <w:pStyle w:val="ListNumber"/>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E1006F"/>
    <w:multiLevelType w:val="multilevel"/>
    <w:tmpl w:val="9934F4D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 w15:restartNumberingAfterBreak="0">
    <w:nsid w:val="02FC6C59"/>
    <w:multiLevelType w:val="multilevel"/>
    <w:tmpl w:val="DD5C93B8"/>
    <w:lvl w:ilvl="0">
      <w:numFmt w:val="bullet"/>
      <w:lvlText w:val="•"/>
      <w:lvlJc w:val="left"/>
      <w:pPr>
        <w:ind w:left="720" w:hanging="480"/>
      </w:pPr>
      <w:rPr>
        <w:color w:val="00558C" w:themeColor="accent1"/>
      </w:rPr>
    </w:lvl>
    <w:lvl w:ilvl="1">
      <w:start w:val="1"/>
      <w:numFmt w:val="bullet"/>
      <w:lvlText w:val=""/>
      <w:lvlJc w:val="left"/>
      <w:pPr>
        <w:ind w:left="1320" w:hanging="360"/>
      </w:pPr>
      <w:rPr>
        <w:rFonts w:ascii="Symbol" w:hAnsi="Symbol" w:hint="default"/>
        <w:color w:val="00558C" w:themeColor="accent1"/>
      </w:rPr>
    </w:lvl>
    <w:lvl w:ilvl="2">
      <w:numFmt w:val="bullet"/>
      <w:lvlText w:val="•"/>
      <w:lvlJc w:val="left"/>
      <w:pPr>
        <w:ind w:left="2160" w:hanging="480"/>
      </w:pPr>
      <w:rPr>
        <w:color w:val="C2CEE7" w:themeColor="accent5" w:themeTint="66"/>
      </w:r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3" w15:restartNumberingAfterBreak="0">
    <w:nsid w:val="0324C222"/>
    <w:multiLevelType w:val="multilevel"/>
    <w:tmpl w:val="F7F64CAA"/>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4" w15:restartNumberingAfterBreak="0">
    <w:nsid w:val="03F4A7A0"/>
    <w:multiLevelType w:val="multilevel"/>
    <w:tmpl w:val="06B6B60E"/>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5" w15:restartNumberingAfterBreak="0">
    <w:nsid w:val="04FA3B23"/>
    <w:multiLevelType w:val="multilevel"/>
    <w:tmpl w:val="F372191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6" w15:restartNumberingAfterBreak="0">
    <w:nsid w:val="133478BF"/>
    <w:multiLevelType w:val="multilevel"/>
    <w:tmpl w:val="A972283E"/>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4F700B"/>
    <w:multiLevelType w:val="multilevel"/>
    <w:tmpl w:val="BCBCEB88"/>
    <w:lvl w:ilvl="0">
      <w:start w:val="1"/>
      <w:numFmt w:val="upperLetter"/>
      <w:pStyle w:val="Annex"/>
      <w:lvlText w:val="ANNEX %1"/>
      <w:lvlJc w:val="left"/>
      <w:pPr>
        <w:ind w:left="851" w:hanging="851"/>
      </w:pPr>
      <w:rPr>
        <w:rFonts w:asciiTheme="minorHAnsi" w:hAnsiTheme="minorHAnsi" w:hint="default"/>
        <w:b/>
        <w:i w:val="0"/>
        <w:caps/>
        <w:color w:val="00558C"/>
        <w:sz w:val="28"/>
        <w:u w:val="none"/>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16102258"/>
    <w:multiLevelType w:val="multilevel"/>
    <w:tmpl w:val="1510693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9" w15:restartNumberingAfterBreak="0">
    <w:nsid w:val="19A1740F"/>
    <w:multiLevelType w:val="multilevel"/>
    <w:tmpl w:val="24121D5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vanish w:val="0"/>
        <w:color w:val="00558C"/>
        <w:spacing w:val="0"/>
        <w:position w:val="0"/>
        <w:sz w:val="28"/>
        <w:u w:val="none"/>
        <w:vertAlign w:val="baseline"/>
        <w14:textOutline w14:w="0" w14:cap="rnd" w14:cmpd="sng" w14:algn="ctr">
          <w14:noFill/>
          <w14:prstDash w14:val="solid"/>
          <w14:bevel/>
        </w14:textOutline>
        <w14:ligatures w14:val="none"/>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7E01D9"/>
    <w:multiLevelType w:val="multilevel"/>
    <w:tmpl w:val="8446FA80"/>
    <w:lvl w:ilvl="0">
      <w:start w:val="1"/>
      <w:numFmt w:val="decimal"/>
      <w:pStyle w:val="Reference"/>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4245C5"/>
    <w:multiLevelType w:val="multilevel"/>
    <w:tmpl w:val="66A069B6"/>
    <w:lvl w:ilvl="0">
      <w:start w:val="1"/>
      <w:numFmt w:val="decimal"/>
      <w:pStyle w:val="Imag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54A4879"/>
    <w:multiLevelType w:val="multilevel"/>
    <w:tmpl w:val="0E52C50C"/>
    <w:styleLink w:val="ArticleSection"/>
    <w:lvl w:ilvl="0">
      <w:start w:val="1"/>
      <w:numFmt w:val="upperRoman"/>
      <w:pStyle w:val="ArticleSectio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28336371"/>
    <w:multiLevelType w:val="multilevel"/>
    <w:tmpl w:val="B3400F24"/>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4E1CF1"/>
    <w:multiLevelType w:val="multilevel"/>
    <w:tmpl w:val="00F0306E"/>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DB2C74"/>
    <w:multiLevelType w:val="multilevel"/>
    <w:tmpl w:val="6CA2E210"/>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547343"/>
    <w:multiLevelType w:val="multilevel"/>
    <w:tmpl w:val="4D32DE34"/>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2E13C5"/>
    <w:multiLevelType w:val="multilevel"/>
    <w:tmpl w:val="6122BF72"/>
    <w:styleLink w:val="IALANumberedList"/>
    <w:lvl w:ilvl="0">
      <w:start w:val="1"/>
      <w:numFmt w:val="decimal"/>
      <w:pStyle w:val="IALANumberedList"/>
      <w:lvlText w:val="%1"/>
      <w:lvlJc w:val="left"/>
      <w:pPr>
        <w:ind w:left="720" w:hanging="480"/>
      </w:pPr>
      <w:rPr>
        <w:rFonts w:hint="default"/>
      </w:rPr>
    </w:lvl>
    <w:lvl w:ilvl="1">
      <w:start w:val="1"/>
      <w:numFmt w:val="lowerLetter"/>
      <w:lvlText w:val="%2"/>
      <w:lvlJc w:val="left"/>
      <w:pPr>
        <w:ind w:left="1440" w:hanging="480"/>
      </w:pPr>
      <w:rPr>
        <w:rFonts w:hint="default"/>
      </w:rPr>
    </w:lvl>
    <w:lvl w:ilvl="2">
      <w:start w:val="1"/>
      <w:numFmt w:val="lowerRoman"/>
      <w:lvlText w:val="%3"/>
      <w:lvlJc w:val="left"/>
      <w:pPr>
        <w:ind w:left="2160" w:hanging="480"/>
      </w:pPr>
      <w:rPr>
        <w:rFonts w:hint="default"/>
      </w:rPr>
    </w:lvl>
    <w:lvl w:ilvl="3">
      <w:start w:val="1"/>
      <w:numFmt w:val="decimal"/>
      <w:lvlText w:val="%4."/>
      <w:lvlJc w:val="left"/>
      <w:pPr>
        <w:ind w:left="2880" w:hanging="480"/>
      </w:pPr>
      <w:rPr>
        <w:rFonts w:hint="default"/>
      </w:rPr>
    </w:lvl>
    <w:lvl w:ilvl="4">
      <w:start w:val="1"/>
      <w:numFmt w:val="decimal"/>
      <w:lvlText w:val="%5."/>
      <w:lvlJc w:val="left"/>
      <w:pPr>
        <w:ind w:left="3600" w:hanging="480"/>
      </w:pPr>
      <w:rPr>
        <w:rFonts w:hint="default"/>
      </w:rPr>
    </w:lvl>
    <w:lvl w:ilvl="5">
      <w:start w:val="1"/>
      <w:numFmt w:val="decimal"/>
      <w:lvlText w:val="%6."/>
      <w:lvlJc w:val="left"/>
      <w:pPr>
        <w:ind w:left="4320" w:hanging="480"/>
      </w:pPr>
      <w:rPr>
        <w:rFonts w:hint="default"/>
      </w:rPr>
    </w:lvl>
    <w:lvl w:ilvl="6">
      <w:start w:val="1"/>
      <w:numFmt w:val="decimal"/>
      <w:lvlText w:val="%7."/>
      <w:lvlJc w:val="left"/>
      <w:pPr>
        <w:ind w:left="5040" w:hanging="480"/>
      </w:pPr>
      <w:rPr>
        <w:rFonts w:hint="default"/>
      </w:rPr>
    </w:lvl>
    <w:lvl w:ilvl="7">
      <w:start w:val="1"/>
      <w:numFmt w:val="decimal"/>
      <w:lvlText w:val="%8."/>
      <w:lvlJc w:val="left"/>
      <w:pPr>
        <w:ind w:left="5760" w:hanging="480"/>
      </w:pPr>
      <w:rPr>
        <w:rFonts w:hint="default"/>
      </w:rPr>
    </w:lvl>
    <w:lvl w:ilvl="8">
      <w:start w:val="1"/>
      <w:numFmt w:val="decimal"/>
      <w:lvlText w:val="%9."/>
      <w:lvlJc w:val="left"/>
      <w:pPr>
        <w:ind w:left="6480" w:hanging="480"/>
      </w:pPr>
      <w:rPr>
        <w:rFonts w:hint="default"/>
      </w:rPr>
    </w:lvl>
  </w:abstractNum>
  <w:abstractNum w:abstractNumId="18" w15:restartNumberingAfterBreak="0">
    <w:nsid w:val="47710168"/>
    <w:multiLevelType w:val="multilevel"/>
    <w:tmpl w:val="31FAA73A"/>
    <w:styleLink w:val="IALABulletList"/>
    <w:lvl w:ilvl="0">
      <w:start w:val="1"/>
      <w:numFmt w:val="bullet"/>
      <w:pStyle w:val="IALABulletList"/>
      <w:lvlText w:val=""/>
      <w:lvlJc w:val="left"/>
      <w:pPr>
        <w:ind w:left="720" w:hanging="480"/>
      </w:pPr>
      <w:rPr>
        <w:rFonts w:ascii="Symbol" w:hAnsi="Symbol" w:hint="default"/>
        <w:color w:val="3E60A1" w:themeColor="accent5" w:themeShade="BF"/>
      </w:rPr>
    </w:lvl>
    <w:lvl w:ilvl="1">
      <w:start w:val="1"/>
      <w:numFmt w:val="bullet"/>
      <w:lvlText w:val=""/>
      <w:lvlJc w:val="left"/>
      <w:pPr>
        <w:ind w:left="1440" w:hanging="480"/>
      </w:pPr>
      <w:rPr>
        <w:rFonts w:ascii="Symbol" w:hAnsi="Symbol" w:hint="default"/>
        <w:color w:val="A3B6DB" w:themeColor="accent5" w:themeTint="99"/>
      </w:rPr>
    </w:lvl>
    <w:lvl w:ilvl="2">
      <w:start w:val="1"/>
      <w:numFmt w:val="bullet"/>
      <w:lvlText w:val="o"/>
      <w:lvlJc w:val="left"/>
      <w:pPr>
        <w:ind w:left="2160" w:hanging="480"/>
      </w:pPr>
      <w:rPr>
        <w:rFonts w:ascii="Courier New" w:hAnsi="Courier New" w:cs="Courier New" w:hint="default"/>
      </w:r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9" w15:restartNumberingAfterBreak="0">
    <w:nsid w:val="48D554E7"/>
    <w:multiLevelType w:val="multilevel"/>
    <w:tmpl w:val="50705B2A"/>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B057A3"/>
    <w:multiLevelType w:val="multilevel"/>
    <w:tmpl w:val="8EFA7158"/>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7AB4D84"/>
    <w:multiLevelType w:val="multilevel"/>
    <w:tmpl w:val="D1E028CA"/>
    <w:lvl w:ilvl="0">
      <w:start w:val="1"/>
      <w:numFmt w:val="decimal"/>
      <w:pStyle w:val="Heading1"/>
      <w:lvlText w:val="%1."/>
      <w:lvlJc w:val="left"/>
      <w:pPr>
        <w:tabs>
          <w:tab w:val="num" w:pos="0"/>
        </w:tabs>
        <w:ind w:left="709" w:hanging="709"/>
      </w:pPr>
      <w:rPr>
        <w:rFonts w:asciiTheme="minorHAnsi" w:hAnsiTheme="minorHAnsi" w:hint="default"/>
        <w:b/>
        <w:i w:val="0"/>
        <w:color w:val="00558C" w:themeColor="accent1"/>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themeColor="accent1"/>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themeColor="accent1"/>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themeColor="accent1"/>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C9C62AB"/>
    <w:multiLevelType w:val="multilevel"/>
    <w:tmpl w:val="EBC0E136"/>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3" w15:restartNumberingAfterBreak="0">
    <w:nsid w:val="76D64DA6"/>
    <w:multiLevelType w:val="multilevel"/>
    <w:tmpl w:val="F79838B4"/>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B65365"/>
    <w:multiLevelType w:val="multilevel"/>
    <w:tmpl w:val="AD063E46"/>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B11B89"/>
    <w:multiLevelType w:val="multilevel"/>
    <w:tmpl w:val="7D3CFE4A"/>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B472BF"/>
    <w:multiLevelType w:val="multilevel"/>
    <w:tmpl w:val="29700534"/>
    <w:lvl w:ilvl="0">
      <w:start w:val="1"/>
      <w:numFmt w:val="decimal"/>
      <w:lvlText w:val="%1."/>
      <w:lvlJc w:val="left"/>
      <w:pPr>
        <w:ind w:left="142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6680161">
    <w:abstractNumId w:val="15"/>
  </w:num>
  <w:num w:numId="2" w16cid:durableId="49547975">
    <w:abstractNumId w:val="7"/>
  </w:num>
  <w:num w:numId="3" w16cid:durableId="1577125072">
    <w:abstractNumId w:val="14"/>
  </w:num>
  <w:num w:numId="4" w16cid:durableId="1688094933">
    <w:abstractNumId w:val="9"/>
  </w:num>
  <w:num w:numId="5" w16cid:durableId="299189226">
    <w:abstractNumId w:val="12"/>
  </w:num>
  <w:num w:numId="6" w16cid:durableId="393085720">
    <w:abstractNumId w:val="19"/>
  </w:num>
  <w:num w:numId="7" w16cid:durableId="1897423811">
    <w:abstractNumId w:val="25"/>
  </w:num>
  <w:num w:numId="8" w16cid:durableId="763888783">
    <w:abstractNumId w:val="23"/>
  </w:num>
  <w:num w:numId="9" w16cid:durableId="1469740782">
    <w:abstractNumId w:val="20"/>
  </w:num>
  <w:num w:numId="10" w16cid:durableId="1278100149">
    <w:abstractNumId w:val="16"/>
  </w:num>
  <w:num w:numId="11" w16cid:durableId="1565027317">
    <w:abstractNumId w:val="21"/>
  </w:num>
  <w:num w:numId="12" w16cid:durableId="619336267">
    <w:abstractNumId w:val="11"/>
  </w:num>
  <w:num w:numId="13" w16cid:durableId="1682201372">
    <w:abstractNumId w:val="6"/>
  </w:num>
  <w:num w:numId="14" w16cid:durableId="40637542">
    <w:abstractNumId w:val="24"/>
  </w:num>
  <w:num w:numId="15" w16cid:durableId="1195776102">
    <w:abstractNumId w:val="22"/>
  </w:num>
  <w:num w:numId="16" w16cid:durableId="60491714">
    <w:abstractNumId w:val="0"/>
  </w:num>
  <w:num w:numId="17" w16cid:durableId="1029187962">
    <w:abstractNumId w:val="10"/>
  </w:num>
  <w:num w:numId="18" w16cid:durableId="1923684552">
    <w:abstractNumId w:val="8"/>
  </w:num>
  <w:num w:numId="19" w16cid:durableId="312565366">
    <w:abstractNumId w:val="13"/>
  </w:num>
  <w:num w:numId="20" w16cid:durableId="1908298498">
    <w:abstractNumId w:val="18"/>
  </w:num>
  <w:num w:numId="21" w16cid:durableId="1406681125">
    <w:abstractNumId w:val="17"/>
  </w:num>
  <w:num w:numId="22" w16cid:durableId="303658032">
    <w:abstractNumId w:val="2"/>
  </w:num>
  <w:num w:numId="23" w16cid:durableId="1335307458">
    <w:abstractNumId w:val="2"/>
  </w:num>
  <w:num w:numId="24" w16cid:durableId="33776442">
    <w:abstractNumId w:val="11"/>
    <w:lvlOverride w:ilvl="0">
      <w:startOverride w:val="1"/>
    </w:lvlOverride>
  </w:num>
  <w:num w:numId="25" w16cid:durableId="16877550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48717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44274169">
    <w:abstractNumId w:val="8"/>
    <w:lvlOverride w:ilvl="0">
      <w:startOverride w:val="1"/>
    </w:lvlOverride>
  </w:num>
  <w:num w:numId="28" w16cid:durableId="1832258499">
    <w:abstractNumId w:val="2"/>
  </w:num>
  <w:num w:numId="29" w16cid:durableId="18906047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0936276">
    <w:abstractNumId w:val="2"/>
  </w:num>
  <w:num w:numId="31" w16cid:durableId="117067782">
    <w:abstractNumId w:val="2"/>
  </w:num>
  <w:num w:numId="32" w16cid:durableId="7047196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7117068">
    <w:abstractNumId w:val="2"/>
  </w:num>
  <w:num w:numId="34" w16cid:durableId="921986481">
    <w:abstractNumId w:val="2"/>
  </w:num>
  <w:num w:numId="35" w16cid:durableId="2116747279">
    <w:abstractNumId w:val="2"/>
  </w:num>
  <w:num w:numId="36" w16cid:durableId="1426146227">
    <w:abstractNumId w:val="2"/>
  </w:num>
  <w:num w:numId="37" w16cid:durableId="312099418">
    <w:abstractNumId w:val="2"/>
  </w:num>
  <w:num w:numId="38" w16cid:durableId="343634426">
    <w:abstractNumId w:val="2"/>
  </w:num>
  <w:num w:numId="39" w16cid:durableId="1256403544">
    <w:abstractNumId w:val="2"/>
  </w:num>
  <w:num w:numId="40" w16cid:durableId="1110466232">
    <w:abstractNumId w:val="2"/>
  </w:num>
  <w:num w:numId="41" w16cid:durableId="1954097182">
    <w:abstractNumId w:val="2"/>
  </w:num>
  <w:num w:numId="42" w16cid:durableId="890461575">
    <w:abstractNumId w:val="2"/>
  </w:num>
  <w:num w:numId="43" w16cid:durableId="367529933">
    <w:abstractNumId w:val="2"/>
  </w:num>
  <w:num w:numId="44" w16cid:durableId="3726552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302609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0410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42836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0599383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712165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1545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40608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183426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27152219">
    <w:abstractNumId w:val="2"/>
  </w:num>
  <w:num w:numId="54" w16cid:durableId="6859114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442498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860895570">
    <w:abstractNumId w:val="2"/>
  </w:num>
  <w:num w:numId="57" w16cid:durableId="1133793958">
    <w:abstractNumId w:val="2"/>
  </w:num>
  <w:num w:numId="58" w16cid:durableId="588393440">
    <w:abstractNumId w:val="2"/>
  </w:num>
  <w:num w:numId="59" w16cid:durableId="1458570367">
    <w:abstractNumId w:val="2"/>
  </w:num>
  <w:num w:numId="60" w16cid:durableId="6580020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552771610">
    <w:abstractNumId w:val="3"/>
  </w:num>
  <w:num w:numId="62" w16cid:durableId="700936917">
    <w:abstractNumId w:val="2"/>
  </w:num>
  <w:num w:numId="63" w16cid:durableId="522598108">
    <w:abstractNumId w:val="2"/>
  </w:num>
  <w:num w:numId="64" w16cid:durableId="861555788">
    <w:abstractNumId w:val="2"/>
  </w:num>
  <w:num w:numId="65" w16cid:durableId="1561600790">
    <w:abstractNumId w:val="8"/>
    <w:lvlOverride w:ilvl="0">
      <w:startOverride w:val="1"/>
    </w:lvlOverride>
  </w:num>
  <w:num w:numId="66" w16cid:durableId="1550385318">
    <w:abstractNumId w:val="5"/>
  </w:num>
  <w:num w:numId="67" w16cid:durableId="441462048">
    <w:abstractNumId w:val="5"/>
  </w:num>
  <w:num w:numId="68" w16cid:durableId="1398745035">
    <w:abstractNumId w:val="5"/>
  </w:num>
  <w:num w:numId="69" w16cid:durableId="1377385784">
    <w:abstractNumId w:val="5"/>
  </w:num>
  <w:num w:numId="70" w16cid:durableId="743645278">
    <w:abstractNumId w:val="11"/>
    <w:lvlOverride w:ilvl="0">
      <w:startOverride w:val="1"/>
    </w:lvlOverride>
  </w:num>
  <w:num w:numId="71" w16cid:durableId="1296333450">
    <w:abstractNumId w:val="5"/>
  </w:num>
  <w:num w:numId="72" w16cid:durableId="1285887213">
    <w:abstractNumId w:val="5"/>
  </w:num>
  <w:num w:numId="73" w16cid:durableId="1205947533">
    <w:abstractNumId w:val="5"/>
  </w:num>
  <w:num w:numId="74" w16cid:durableId="606279572">
    <w:abstractNumId w:val="5"/>
  </w:num>
  <w:num w:numId="75" w16cid:durableId="1316059383">
    <w:abstractNumId w:val="5"/>
  </w:num>
  <w:num w:numId="76" w16cid:durableId="1048185860">
    <w:abstractNumId w:val="5"/>
  </w:num>
  <w:num w:numId="77" w16cid:durableId="690381064">
    <w:abstractNumId w:val="5"/>
  </w:num>
  <w:num w:numId="78" w16cid:durableId="138158102">
    <w:abstractNumId w:val="5"/>
  </w:num>
  <w:num w:numId="79" w16cid:durableId="2029064893">
    <w:abstractNumId w:val="5"/>
  </w:num>
  <w:num w:numId="80" w16cid:durableId="1689597389">
    <w:abstractNumId w:val="5"/>
  </w:num>
  <w:num w:numId="81" w16cid:durableId="1340809707">
    <w:abstractNumId w:val="5"/>
  </w:num>
  <w:num w:numId="82" w16cid:durableId="2052653476">
    <w:abstractNumId w:val="5"/>
  </w:num>
  <w:num w:numId="83" w16cid:durableId="1124692203">
    <w:abstractNumId w:val="5"/>
  </w:num>
  <w:num w:numId="84" w16cid:durableId="1031691930">
    <w:abstractNumId w:val="5"/>
  </w:num>
  <w:num w:numId="85" w16cid:durableId="1251741403">
    <w:abstractNumId w:val="5"/>
  </w:num>
  <w:num w:numId="86" w16cid:durableId="1889099797">
    <w:abstractNumId w:val="5"/>
  </w:num>
  <w:num w:numId="87" w16cid:durableId="1422144602">
    <w:abstractNumId w:val="5"/>
  </w:num>
  <w:num w:numId="88" w16cid:durableId="1252617324">
    <w:abstractNumId w:val="5"/>
  </w:num>
  <w:num w:numId="89" w16cid:durableId="276451027">
    <w:abstractNumId w:val="5"/>
  </w:num>
  <w:num w:numId="90" w16cid:durableId="2107916770">
    <w:abstractNumId w:val="5"/>
  </w:num>
  <w:num w:numId="91" w16cid:durableId="862742258">
    <w:abstractNumId w:val="5"/>
  </w:num>
  <w:num w:numId="92" w16cid:durableId="74059750">
    <w:abstractNumId w:val="5"/>
  </w:num>
  <w:num w:numId="93" w16cid:durableId="183709933">
    <w:abstractNumId w:val="5"/>
  </w:num>
  <w:num w:numId="94" w16cid:durableId="10868764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390819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7502324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08175881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DEE"/>
    <w:rsid w:val="00031962"/>
    <w:rsid w:val="00715C3C"/>
    <w:rsid w:val="00753DEE"/>
    <w:rsid w:val="00BB642F"/>
    <w:rsid w:val="00D66CAA"/>
    <w:rsid w:val="00D918C7"/>
    <w:rsid w:val="00F02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D2F06"/>
  <w15:docId w15:val="{1E44E760-7CF8-4CA1-9654-BD9478C4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after="120" w:line="216" w:lineRule="atLeast"/>
    </w:pPr>
    <w:rPr>
      <w:lang w:val="en-GB"/>
    </w:rPr>
  </w:style>
  <w:style w:type="paragraph" w:styleId="Heading1">
    <w:name w:val="heading 1"/>
    <w:next w:val="Heading1separationline"/>
    <w:link w:val="Heading1Char"/>
    <w:qFormat/>
    <w:pPr>
      <w:keepNext/>
      <w:keepLines/>
      <w:numPr>
        <w:numId w:val="11"/>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outlineLvl w:val="4"/>
    </w:pPr>
    <w:rPr>
      <w:b w:val="0"/>
    </w:rPr>
  </w:style>
  <w:style w:type="paragraph" w:styleId="Heading6">
    <w:name w:val="heading 6"/>
    <w:basedOn w:val="Normal"/>
    <w:next w:val="Normal"/>
    <w:link w:val="Heading6Char"/>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69C3FF" w:themeColor="accent1" w:themeTint="67"/>
        <w:left w:val="single" w:sz="4" w:space="0" w:color="69C3FF" w:themeColor="accent1" w:themeTint="67"/>
        <w:bottom w:val="single" w:sz="4" w:space="0" w:color="69C3FF" w:themeColor="accent1" w:themeTint="67"/>
        <w:right w:val="single" w:sz="4" w:space="0" w:color="69C3FF" w:themeColor="accent1" w:themeTint="67"/>
        <w:insideH w:val="single" w:sz="4" w:space="0" w:color="69C3FF" w:themeColor="accent1" w:themeTint="67"/>
        <w:insideV w:val="single" w:sz="4" w:space="0" w:color="69C3FF" w:themeColor="accent1" w:themeTint="67"/>
      </w:tblBorders>
    </w:tblPr>
    <w:tblStylePr w:type="firstRow">
      <w:rPr>
        <w:b/>
        <w:color w:val="404040"/>
      </w:rPr>
      <w:tblPr/>
      <w:tcPr>
        <w:tcBorders>
          <w:bottom w:val="single" w:sz="12" w:space="0" w:color="26A9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9C3FF" w:themeColor="accent1" w:themeTint="67"/>
          <w:left w:val="single" w:sz="4" w:space="0" w:color="69C3FF" w:themeColor="accent1" w:themeTint="67"/>
          <w:bottom w:val="single" w:sz="4" w:space="0" w:color="69C3FF" w:themeColor="accent1" w:themeTint="67"/>
          <w:right w:val="single" w:sz="4" w:space="0" w:color="69C3FF"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8CDCFF" w:themeColor="accent2" w:themeTint="67"/>
        <w:left w:val="single" w:sz="4" w:space="0" w:color="8CDCFF" w:themeColor="accent2" w:themeTint="67"/>
        <w:bottom w:val="single" w:sz="4" w:space="0" w:color="8CDCFF" w:themeColor="accent2" w:themeTint="67"/>
        <w:right w:val="single" w:sz="4" w:space="0" w:color="8CDCFF" w:themeColor="accent2" w:themeTint="67"/>
        <w:insideH w:val="single" w:sz="4" w:space="0" w:color="8CDCFF" w:themeColor="accent2" w:themeTint="67"/>
        <w:insideV w:val="single" w:sz="4" w:space="0" w:color="8CDCFF" w:themeColor="accent2" w:themeTint="67"/>
      </w:tblBorders>
    </w:tblPr>
    <w:tblStylePr w:type="firstRow">
      <w:rPr>
        <w:b/>
        <w:color w:val="404040"/>
      </w:rPr>
      <w:tblPr/>
      <w:tcPr>
        <w:tcBorders>
          <w:bottom w:val="single" w:sz="12" w:space="0" w:color="59CCFF"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CDCFF" w:themeColor="accent2" w:themeTint="67"/>
          <w:left w:val="single" w:sz="4" w:space="0" w:color="8CDCFF" w:themeColor="accent2" w:themeTint="67"/>
          <w:bottom w:val="single" w:sz="4" w:space="0" w:color="8CDCFF" w:themeColor="accent2" w:themeTint="67"/>
          <w:right w:val="single" w:sz="4" w:space="0" w:color="8CDCFF"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78FFF9" w:themeColor="accent3" w:themeTint="67"/>
        <w:left w:val="single" w:sz="4" w:space="0" w:color="78FFF9" w:themeColor="accent3" w:themeTint="67"/>
        <w:bottom w:val="single" w:sz="4" w:space="0" w:color="78FFF9" w:themeColor="accent3" w:themeTint="67"/>
        <w:right w:val="single" w:sz="4" w:space="0" w:color="78FFF9" w:themeColor="accent3" w:themeTint="67"/>
        <w:insideH w:val="single" w:sz="4" w:space="0" w:color="78FFF9" w:themeColor="accent3" w:themeTint="67"/>
        <w:insideV w:val="single" w:sz="4" w:space="0" w:color="78FFF9" w:themeColor="accent3" w:themeTint="67"/>
      </w:tblBorders>
    </w:tblPr>
    <w:tblStylePr w:type="firstRow">
      <w:rPr>
        <w:b/>
        <w:color w:val="404040"/>
      </w:rPr>
      <w:tblPr/>
      <w:tcPr>
        <w:tcBorders>
          <w:bottom w:val="single" w:sz="12" w:space="0" w:color="3BFFF6"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8FFF9" w:themeColor="accent3" w:themeTint="67"/>
          <w:left w:val="single" w:sz="4" w:space="0" w:color="78FFF9" w:themeColor="accent3" w:themeTint="67"/>
          <w:bottom w:val="single" w:sz="4" w:space="0" w:color="78FFF9" w:themeColor="accent3" w:themeTint="67"/>
          <w:right w:val="single" w:sz="4" w:space="0" w:color="78FFF9"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85F3FF" w:themeColor="accent4" w:themeTint="67"/>
        <w:left w:val="single" w:sz="4" w:space="0" w:color="85F3FF" w:themeColor="accent4" w:themeTint="67"/>
        <w:bottom w:val="single" w:sz="4" w:space="0" w:color="85F3FF" w:themeColor="accent4" w:themeTint="67"/>
        <w:right w:val="single" w:sz="4" w:space="0" w:color="85F3FF" w:themeColor="accent4" w:themeTint="67"/>
        <w:insideH w:val="single" w:sz="4" w:space="0" w:color="85F3FF" w:themeColor="accent4" w:themeTint="67"/>
        <w:insideV w:val="single" w:sz="4" w:space="0" w:color="85F3FF" w:themeColor="accent4" w:themeTint="67"/>
      </w:tblBorders>
    </w:tblPr>
    <w:tblStylePr w:type="firstRow">
      <w:rPr>
        <w:b/>
        <w:color w:val="404040"/>
      </w:rPr>
      <w:tblPr/>
      <w:tcPr>
        <w:tcBorders>
          <w:bottom w:val="single" w:sz="12" w:space="0" w:color="4EED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5F3FF" w:themeColor="accent4" w:themeTint="67"/>
          <w:left w:val="single" w:sz="4" w:space="0" w:color="85F3FF" w:themeColor="accent4" w:themeTint="67"/>
          <w:bottom w:val="single" w:sz="4" w:space="0" w:color="85F3FF" w:themeColor="accent4" w:themeTint="67"/>
          <w:right w:val="single" w:sz="4" w:space="0" w:color="85F3FF"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C1CEE7" w:themeColor="accent5" w:themeTint="67"/>
        <w:left w:val="single" w:sz="4" w:space="0" w:color="C1CEE7" w:themeColor="accent5" w:themeTint="67"/>
        <w:bottom w:val="single" w:sz="4" w:space="0" w:color="C1CEE7" w:themeColor="accent5" w:themeTint="67"/>
        <w:right w:val="single" w:sz="4" w:space="0" w:color="C1CEE7" w:themeColor="accent5" w:themeTint="67"/>
        <w:insideH w:val="single" w:sz="4" w:space="0" w:color="C1CEE7" w:themeColor="accent5" w:themeTint="67"/>
        <w:insideV w:val="single" w:sz="4" w:space="0" w:color="C1CEE7" w:themeColor="accent5" w:themeTint="67"/>
      </w:tblBorders>
    </w:tblPr>
    <w:tblStylePr w:type="firstRow">
      <w:rPr>
        <w:b/>
        <w:color w:val="404040"/>
      </w:rPr>
      <w:tblPr/>
      <w:tcPr>
        <w:tcBorders>
          <w:bottom w:val="single" w:sz="12" w:space="0" w:color="A6B8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1CEE7" w:themeColor="accent5" w:themeTint="67"/>
          <w:left w:val="single" w:sz="4" w:space="0" w:color="C1CEE7" w:themeColor="accent5" w:themeTint="67"/>
          <w:bottom w:val="single" w:sz="4" w:space="0" w:color="C1CEE7" w:themeColor="accent5" w:themeTint="67"/>
          <w:right w:val="single" w:sz="4" w:space="0" w:color="C1CE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D8B5D8" w:themeColor="accent6" w:themeTint="67"/>
        <w:left w:val="single" w:sz="4" w:space="0" w:color="D8B5D8" w:themeColor="accent6" w:themeTint="67"/>
        <w:bottom w:val="single" w:sz="4" w:space="0" w:color="D8B5D8" w:themeColor="accent6" w:themeTint="67"/>
        <w:right w:val="single" w:sz="4" w:space="0" w:color="D8B5D8" w:themeColor="accent6" w:themeTint="67"/>
        <w:insideH w:val="single" w:sz="4" w:space="0" w:color="D8B5D8" w:themeColor="accent6" w:themeTint="67"/>
        <w:insideV w:val="single" w:sz="4" w:space="0" w:color="D8B5D8" w:themeColor="accent6" w:themeTint="67"/>
      </w:tblBorders>
    </w:tblPr>
    <w:tblStylePr w:type="firstRow">
      <w:rPr>
        <w:b/>
        <w:color w:val="404040"/>
      </w:rPr>
      <w:tblPr/>
      <w:tcPr>
        <w:tcBorders>
          <w:bottom w:val="single" w:sz="12" w:space="0" w:color="C794C7"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8B5D8" w:themeColor="accent6" w:themeTint="67"/>
          <w:left w:val="single" w:sz="4" w:space="0" w:color="D8B5D8" w:themeColor="accent6" w:themeTint="67"/>
          <w:bottom w:val="single" w:sz="4" w:space="0" w:color="D8B5D8" w:themeColor="accent6" w:themeTint="67"/>
          <w:right w:val="single" w:sz="4" w:space="0" w:color="D8B5D8"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0066AA" w:themeColor="accent1" w:themeTint="EA"/>
        <w:insideH w:val="single" w:sz="4" w:space="0" w:color="0066AA" w:themeColor="accent1" w:themeTint="EA"/>
        <w:insideV w:val="single" w:sz="4" w:space="0" w:color="0066AA" w:themeColor="accent1" w:themeTint="EA"/>
      </w:tblBorders>
    </w:tblPr>
    <w:tblStylePr w:type="firstRow">
      <w:rPr>
        <w:b/>
        <w:color w:val="404040"/>
      </w:rPr>
      <w:tblPr/>
      <w:tcPr>
        <w:tcBorders>
          <w:top w:val="none" w:sz="4" w:space="0" w:color="000000"/>
          <w:left w:val="none" w:sz="4" w:space="0" w:color="000000"/>
          <w:bottom w:val="single" w:sz="12" w:space="0" w:color="0066AA" w:themeColor="accent1" w:themeTint="EA"/>
          <w:right w:val="none" w:sz="4" w:space="0" w:color="000000"/>
        </w:tcBorders>
        <w:shd w:val="clear" w:color="FFFFFF" w:fill="auto"/>
      </w:tcPr>
    </w:tblStylePr>
    <w:tblStylePr w:type="lastRow">
      <w:rPr>
        <w:b/>
        <w:color w:val="404040"/>
      </w:rPr>
      <w:tblPr/>
      <w:tcPr>
        <w:tcBorders>
          <w:top w:val="single" w:sz="4" w:space="0" w:color="0066AA"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3E1FF" w:themeColor="accent1" w:themeTint="34" w:fill="B3E1FF" w:themeFill="accent1" w:themeFillTint="34"/>
      </w:tcPr>
    </w:tblStylePr>
    <w:tblStylePr w:type="band1Horz">
      <w:rPr>
        <w:rFonts w:ascii="Arial" w:hAnsi="Arial"/>
        <w:color w:val="404040"/>
        <w:sz w:val="22"/>
      </w:rPr>
      <w:tblPr/>
      <w:tcPr>
        <w:shd w:val="clear" w:color="B3E1FF" w:themeColor="accent1" w:themeTint="34" w:fill="B3E1FF"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57CCFF" w:themeColor="accent2" w:themeTint="97"/>
        <w:insideH w:val="single" w:sz="4" w:space="0" w:color="57CCFF" w:themeColor="accent2" w:themeTint="97"/>
        <w:insideV w:val="single" w:sz="4" w:space="0" w:color="57CCFF" w:themeColor="accent2" w:themeTint="97"/>
      </w:tblBorders>
    </w:tblPr>
    <w:tblStylePr w:type="firstRow">
      <w:rPr>
        <w:b/>
        <w:color w:val="404040"/>
      </w:rPr>
      <w:tblPr/>
      <w:tcPr>
        <w:tcBorders>
          <w:top w:val="none" w:sz="4" w:space="0" w:color="000000"/>
          <w:left w:val="none" w:sz="4" w:space="0" w:color="000000"/>
          <w:bottom w:val="single" w:sz="12" w:space="0" w:color="57CCFF" w:themeColor="accent2" w:themeTint="97"/>
          <w:right w:val="none" w:sz="4" w:space="0" w:color="000000"/>
        </w:tcBorders>
        <w:shd w:val="clear" w:color="FFFFFF" w:fill="auto"/>
      </w:tcPr>
    </w:tblStylePr>
    <w:tblStylePr w:type="lastRow">
      <w:rPr>
        <w:b/>
        <w:color w:val="404040"/>
      </w:rPr>
      <w:tblPr/>
      <w:tcPr>
        <w:tcBorders>
          <w:top w:val="single" w:sz="4" w:space="0" w:color="57CCFF"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EEFF" w:themeColor="accent2" w:themeTint="32" w:fill="C7EEFF" w:themeFill="accent2" w:themeFillTint="32"/>
      </w:tcPr>
    </w:tblStylePr>
    <w:tblStylePr w:type="band1Horz">
      <w:rPr>
        <w:rFonts w:ascii="Arial" w:hAnsi="Arial"/>
        <w:color w:val="404040"/>
        <w:sz w:val="22"/>
      </w:rPr>
      <w:tblPr/>
      <w:tcPr>
        <w:shd w:val="clear" w:color="C7EEFF" w:themeColor="accent2" w:themeTint="32" w:fill="C7EEFF"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00B1A9" w:themeColor="accent3" w:themeTint="FE"/>
        <w:insideH w:val="single" w:sz="4" w:space="0" w:color="00B1A9" w:themeColor="accent3" w:themeTint="FE"/>
        <w:insideV w:val="single" w:sz="4" w:space="0" w:color="00B1A9" w:themeColor="accent3" w:themeTint="FE"/>
      </w:tblBorders>
    </w:tblPr>
    <w:tblStylePr w:type="firstRow">
      <w:rPr>
        <w:b/>
        <w:color w:val="404040"/>
      </w:rPr>
      <w:tblPr/>
      <w:tcPr>
        <w:tcBorders>
          <w:top w:val="none" w:sz="4" w:space="0" w:color="000000"/>
          <w:left w:val="none" w:sz="4" w:space="0" w:color="000000"/>
          <w:bottom w:val="single" w:sz="12" w:space="0" w:color="00B1A9" w:themeColor="accent3" w:themeTint="FE"/>
          <w:right w:val="none" w:sz="4" w:space="0" w:color="000000"/>
        </w:tcBorders>
        <w:shd w:val="clear" w:color="FFFFFF" w:fill="auto"/>
      </w:tcPr>
    </w:tblStylePr>
    <w:tblStylePr w:type="lastRow">
      <w:rPr>
        <w:b/>
        <w:color w:val="404040"/>
      </w:rPr>
      <w:tblPr/>
      <w:tcPr>
        <w:tcBorders>
          <w:top w:val="single" w:sz="4" w:space="0" w:color="00B1A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AFFFC" w:themeColor="accent3" w:themeTint="34" w:fill="BAFFFC" w:themeFill="accent3" w:themeFillTint="34"/>
      </w:tcPr>
    </w:tblStylePr>
    <w:tblStylePr w:type="band1Horz">
      <w:rPr>
        <w:rFonts w:ascii="Arial" w:hAnsi="Arial"/>
        <w:color w:val="404040"/>
        <w:sz w:val="22"/>
      </w:rPr>
      <w:tblPr/>
      <w:tcPr>
        <w:shd w:val="clear" w:color="BAFFFC" w:themeColor="accent3" w:themeTint="34" w:fill="BAFFF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48EDFF" w:themeColor="accent4" w:themeTint="9A"/>
        <w:insideH w:val="single" w:sz="4" w:space="0" w:color="48EDFF" w:themeColor="accent4" w:themeTint="9A"/>
        <w:insideV w:val="single" w:sz="4" w:space="0" w:color="48EDFF" w:themeColor="accent4" w:themeTint="9A"/>
      </w:tblBorders>
    </w:tblPr>
    <w:tblStylePr w:type="firstRow">
      <w:rPr>
        <w:b/>
        <w:color w:val="404040"/>
      </w:rPr>
      <w:tblPr/>
      <w:tcPr>
        <w:tcBorders>
          <w:top w:val="none" w:sz="4" w:space="0" w:color="000000"/>
          <w:left w:val="none" w:sz="4" w:space="0" w:color="000000"/>
          <w:bottom w:val="single" w:sz="12" w:space="0" w:color="48EDFF" w:themeColor="accent4" w:themeTint="9A"/>
          <w:right w:val="none" w:sz="4" w:space="0" w:color="000000"/>
        </w:tcBorders>
        <w:shd w:val="clear" w:color="FFFFFF" w:fill="auto"/>
      </w:tcPr>
    </w:tblStylePr>
    <w:tblStylePr w:type="lastRow">
      <w:rPr>
        <w:b/>
        <w:color w:val="404040"/>
      </w:rPr>
      <w:tblPr/>
      <w:tcPr>
        <w:tcBorders>
          <w:top w:val="single" w:sz="4" w:space="0" w:color="48ED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1F8FF" w:themeColor="accent4" w:themeTint="34" w:fill="C1F8FF" w:themeFill="accent4" w:themeFillTint="34"/>
      </w:tcPr>
    </w:tblStylePr>
    <w:tblStylePr w:type="band1Horz">
      <w:rPr>
        <w:rFonts w:ascii="Arial" w:hAnsi="Arial"/>
        <w:color w:val="404040"/>
        <w:sz w:val="22"/>
      </w:rPr>
      <w:tblPr/>
      <w:tcPr>
        <w:shd w:val="clear" w:color="C1F8FF" w:themeColor="accent4" w:themeTint="34" w:fill="C1F8FF"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6787C4" w:themeColor="accent5"/>
        <w:insideH w:val="single" w:sz="4" w:space="0" w:color="6787C4" w:themeColor="accent5"/>
        <w:insideV w:val="single" w:sz="4" w:space="0" w:color="6787C4" w:themeColor="accent5"/>
      </w:tblBorders>
    </w:tblPr>
    <w:tblStylePr w:type="firstRow">
      <w:rPr>
        <w:b/>
        <w:color w:val="404040"/>
      </w:rPr>
      <w:tblPr/>
      <w:tcPr>
        <w:tcBorders>
          <w:top w:val="none" w:sz="4" w:space="0" w:color="000000"/>
          <w:left w:val="none" w:sz="4" w:space="0" w:color="000000"/>
          <w:bottom w:val="single" w:sz="12" w:space="0" w:color="6787C4" w:themeColor="accent5"/>
          <w:right w:val="none" w:sz="4" w:space="0" w:color="000000"/>
        </w:tcBorders>
        <w:shd w:val="clear" w:color="FFFFFF" w:fill="auto"/>
      </w:tcPr>
    </w:tblStylePr>
    <w:tblStylePr w:type="lastRow">
      <w:rPr>
        <w:b/>
        <w:color w:val="404040"/>
      </w:rPr>
      <w:tblPr/>
      <w:tcPr>
        <w:tcBorders>
          <w:top w:val="single" w:sz="4" w:space="0" w:color="6787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E6F3" w:themeColor="accent5" w:themeTint="34" w:fill="DFE6F3" w:themeFill="accent5" w:themeFillTint="34"/>
      </w:tcPr>
    </w:tblStylePr>
    <w:tblStylePr w:type="band1Horz">
      <w:rPr>
        <w:rFonts w:ascii="Arial" w:hAnsi="Arial"/>
        <w:color w:val="404040"/>
        <w:sz w:val="22"/>
      </w:rPr>
      <w:tblPr/>
      <w:tcPr>
        <w:shd w:val="clear" w:color="DFE6F3" w:themeColor="accent5" w:themeTint="34" w:fill="DFE6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99509A" w:themeColor="accent6"/>
        <w:insideH w:val="single" w:sz="4" w:space="0" w:color="99509A" w:themeColor="accent6"/>
        <w:insideV w:val="single" w:sz="4" w:space="0" w:color="99509A" w:themeColor="accent6"/>
      </w:tblBorders>
    </w:tblPr>
    <w:tblStylePr w:type="firstRow">
      <w:rPr>
        <w:b/>
        <w:color w:val="404040"/>
      </w:rPr>
      <w:tblPr/>
      <w:tcPr>
        <w:tcBorders>
          <w:top w:val="none" w:sz="4" w:space="0" w:color="000000"/>
          <w:left w:val="none" w:sz="4" w:space="0" w:color="000000"/>
          <w:bottom w:val="single" w:sz="12" w:space="0" w:color="99509A" w:themeColor="accent6"/>
          <w:right w:val="none" w:sz="4" w:space="0" w:color="000000"/>
        </w:tcBorders>
        <w:shd w:val="clear" w:color="FFFFFF" w:fill="auto"/>
      </w:tcPr>
    </w:tblStylePr>
    <w:tblStylePr w:type="lastRow">
      <w:rPr>
        <w:b/>
        <w:color w:val="404040"/>
      </w:rPr>
      <w:tblPr/>
      <w:tcPr>
        <w:tcBorders>
          <w:top w:val="single" w:sz="4" w:space="0" w:color="99509A"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BD9EB" w:themeColor="accent6" w:themeTint="34" w:fill="EBD9EB" w:themeFill="accent6" w:themeFillTint="34"/>
      </w:tcPr>
    </w:tblStylePr>
    <w:tblStylePr w:type="band1Horz">
      <w:rPr>
        <w:rFonts w:ascii="Arial" w:hAnsi="Arial"/>
        <w:color w:val="404040"/>
        <w:sz w:val="22"/>
      </w:rPr>
      <w:tblPr/>
      <w:tcPr>
        <w:shd w:val="clear" w:color="EBD9EB" w:themeColor="accent6" w:themeTint="34" w:fill="EBD9EB"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0066AA" w:themeColor="accent1" w:themeTint="EA"/>
        <w:insideH w:val="single" w:sz="4" w:space="0" w:color="0066AA" w:themeColor="accent1" w:themeTint="EA"/>
        <w:insideV w:val="single" w:sz="4" w:space="0" w:color="0066AA"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3E1FF" w:themeColor="accent1" w:themeTint="34" w:fill="B3E1FF" w:themeFill="accent1" w:themeFillTint="34"/>
      </w:tcPr>
    </w:tblStylePr>
    <w:tblStylePr w:type="band1Horz">
      <w:rPr>
        <w:rFonts w:ascii="Arial" w:hAnsi="Arial"/>
        <w:color w:val="404040"/>
        <w:sz w:val="22"/>
      </w:rPr>
      <w:tblPr/>
      <w:tcPr>
        <w:shd w:val="clear" w:color="B3E1FF" w:themeColor="accent1" w:themeTint="34" w:fill="B3E1FF"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57CCFF" w:themeColor="accent2" w:themeTint="97"/>
        <w:insideH w:val="single" w:sz="4" w:space="0" w:color="57CCFF" w:themeColor="accent2" w:themeTint="97"/>
        <w:insideV w:val="single" w:sz="4" w:space="0" w:color="57CCFF"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7EEFF" w:themeColor="accent2" w:themeTint="32" w:fill="C7EEFF" w:themeFill="accent2" w:themeFillTint="32"/>
      </w:tcPr>
    </w:tblStylePr>
    <w:tblStylePr w:type="band1Horz">
      <w:rPr>
        <w:rFonts w:ascii="Arial" w:hAnsi="Arial"/>
        <w:color w:val="404040"/>
        <w:sz w:val="22"/>
      </w:rPr>
      <w:tblPr/>
      <w:tcPr>
        <w:shd w:val="clear" w:color="C7EEFF" w:themeColor="accent2" w:themeTint="32" w:fill="C7EEFF"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00B1A9" w:themeColor="accent3" w:themeTint="FE"/>
        <w:insideH w:val="single" w:sz="4" w:space="0" w:color="00B1A9" w:themeColor="accent3" w:themeTint="FE"/>
        <w:insideV w:val="single" w:sz="4" w:space="0" w:color="00B1A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AFFFC" w:themeColor="accent3" w:themeTint="34" w:fill="BAFFFC" w:themeFill="accent3" w:themeFillTint="34"/>
      </w:tcPr>
    </w:tblStylePr>
    <w:tblStylePr w:type="band1Horz">
      <w:rPr>
        <w:rFonts w:ascii="Arial" w:hAnsi="Arial"/>
        <w:color w:val="404040"/>
        <w:sz w:val="22"/>
      </w:rPr>
      <w:tblPr/>
      <w:tcPr>
        <w:shd w:val="clear" w:color="BAFFFC" w:themeColor="accent3" w:themeTint="34" w:fill="BAFFF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48EDFF" w:themeColor="accent4" w:themeTint="9A"/>
        <w:insideH w:val="single" w:sz="4" w:space="0" w:color="48EDFF" w:themeColor="accent4" w:themeTint="9A"/>
        <w:insideV w:val="single" w:sz="4" w:space="0" w:color="48ED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1F8FF" w:themeColor="accent4" w:themeTint="34" w:fill="C1F8FF" w:themeFill="accent4" w:themeFillTint="34"/>
      </w:tcPr>
    </w:tblStylePr>
    <w:tblStylePr w:type="band1Horz">
      <w:rPr>
        <w:rFonts w:ascii="Arial" w:hAnsi="Arial"/>
        <w:color w:val="404040"/>
        <w:sz w:val="22"/>
      </w:rPr>
      <w:tblPr/>
      <w:tcPr>
        <w:shd w:val="clear" w:color="C1F8FF" w:themeColor="accent4" w:themeTint="34" w:fill="C1F8FF"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6787C4" w:themeColor="accent5"/>
        <w:insideH w:val="single" w:sz="4" w:space="0" w:color="6787C4" w:themeColor="accent5"/>
        <w:insideV w:val="single" w:sz="4" w:space="0" w:color="6787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FE6F3" w:themeColor="accent5" w:themeTint="34" w:fill="DFE6F3" w:themeFill="accent5" w:themeFillTint="34"/>
      </w:tcPr>
    </w:tblStylePr>
    <w:tblStylePr w:type="band1Horz">
      <w:rPr>
        <w:rFonts w:ascii="Arial" w:hAnsi="Arial"/>
        <w:color w:val="404040"/>
        <w:sz w:val="22"/>
      </w:rPr>
      <w:tblPr/>
      <w:tcPr>
        <w:shd w:val="clear" w:color="DFE6F3" w:themeColor="accent5" w:themeTint="34" w:fill="DFE6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99509A" w:themeColor="accent6"/>
        <w:insideH w:val="single" w:sz="4" w:space="0" w:color="99509A" w:themeColor="accent6"/>
        <w:insideV w:val="single" w:sz="4" w:space="0" w:color="99509A"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BD9EB" w:themeColor="accent6" w:themeTint="34" w:fill="EBD9EB" w:themeFill="accent6" w:themeFillTint="34"/>
      </w:tcPr>
    </w:tblStylePr>
    <w:tblStylePr w:type="band1Horz">
      <w:rPr>
        <w:rFonts w:ascii="Arial" w:hAnsi="Arial"/>
        <w:color w:val="404040"/>
        <w:sz w:val="22"/>
      </w:rPr>
      <w:tblPr/>
      <w:tcPr>
        <w:shd w:val="clear" w:color="EBD9EB" w:themeColor="accent6" w:themeTint="34" w:fill="EBD9EB"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2EACFF" w:themeColor="accent1" w:themeTint="90"/>
        <w:left w:val="single" w:sz="4" w:space="0" w:color="2EACFF" w:themeColor="accent1" w:themeTint="90"/>
        <w:bottom w:val="single" w:sz="4" w:space="0" w:color="2EACFF" w:themeColor="accent1" w:themeTint="90"/>
        <w:right w:val="single" w:sz="4" w:space="0" w:color="2EACFF" w:themeColor="accent1" w:themeTint="90"/>
        <w:insideH w:val="single" w:sz="4" w:space="0" w:color="2EACFF" w:themeColor="accent1" w:themeTint="90"/>
        <w:insideV w:val="single" w:sz="4" w:space="0" w:color="2EACFF" w:themeColor="accent1" w:themeTint="90"/>
      </w:tblBorders>
    </w:tblPr>
    <w:tblStylePr w:type="firstRow">
      <w:rPr>
        <w:rFonts w:ascii="Arial" w:hAnsi="Arial"/>
        <w:b/>
        <w:color w:val="FFFFFF"/>
        <w:sz w:val="22"/>
      </w:rPr>
      <w:tblPr/>
      <w:tcPr>
        <w:tcBorders>
          <w:top w:val="single" w:sz="4" w:space="0" w:color="0066AA" w:themeColor="accent1" w:themeTint="EA"/>
          <w:left w:val="single" w:sz="4" w:space="0" w:color="0066AA" w:themeColor="accent1" w:themeTint="EA"/>
          <w:bottom w:val="single" w:sz="4" w:space="0" w:color="0066AA" w:themeColor="accent1" w:themeTint="EA"/>
          <w:right w:val="single" w:sz="4" w:space="0" w:color="0066AA" w:themeColor="accent1" w:themeTint="EA"/>
        </w:tcBorders>
        <w:shd w:val="clear" w:color="0066AA" w:themeColor="accent1" w:themeTint="EA" w:fill="0066AA" w:themeFill="accent1" w:themeFillTint="EA"/>
      </w:tcPr>
    </w:tblStylePr>
    <w:tblStylePr w:type="lastRow">
      <w:rPr>
        <w:b/>
        <w:color w:val="404040"/>
      </w:rPr>
      <w:tblPr/>
      <w:tcPr>
        <w:tcBorders>
          <w:top w:val="single" w:sz="4" w:space="0" w:color="0066AA"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6E2FF" w:themeColor="accent1" w:themeTint="32" w:fill="B6E2FF" w:themeFill="accent1" w:themeFillTint="32"/>
      </w:tcPr>
    </w:tblStylePr>
    <w:tblStylePr w:type="band1Horz">
      <w:rPr>
        <w:rFonts w:ascii="Arial" w:hAnsi="Arial"/>
        <w:color w:val="404040"/>
        <w:sz w:val="22"/>
      </w:rPr>
      <w:tblPr/>
      <w:tcPr>
        <w:shd w:val="clear" w:color="B6E2FF" w:themeColor="accent1" w:themeTint="32" w:fill="B6E2FF"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5FCEFF" w:themeColor="accent2" w:themeTint="90"/>
        <w:left w:val="single" w:sz="4" w:space="0" w:color="5FCEFF" w:themeColor="accent2" w:themeTint="90"/>
        <w:bottom w:val="single" w:sz="4" w:space="0" w:color="5FCEFF" w:themeColor="accent2" w:themeTint="90"/>
        <w:right w:val="single" w:sz="4" w:space="0" w:color="5FCEFF" w:themeColor="accent2" w:themeTint="90"/>
        <w:insideH w:val="single" w:sz="4" w:space="0" w:color="5FCEFF" w:themeColor="accent2" w:themeTint="90"/>
        <w:insideV w:val="single" w:sz="4" w:space="0" w:color="5FCEFF" w:themeColor="accent2" w:themeTint="90"/>
      </w:tblBorders>
    </w:tblPr>
    <w:tblStylePr w:type="firstRow">
      <w:rPr>
        <w:rFonts w:ascii="Arial" w:hAnsi="Arial"/>
        <w:b/>
        <w:color w:val="FFFFFF"/>
        <w:sz w:val="22"/>
      </w:rPr>
      <w:tblPr/>
      <w:tcPr>
        <w:tcBorders>
          <w:top w:val="single" w:sz="4" w:space="0" w:color="57CCFF" w:themeColor="accent2" w:themeTint="97"/>
          <w:left w:val="single" w:sz="4" w:space="0" w:color="57CCFF" w:themeColor="accent2" w:themeTint="97"/>
          <w:bottom w:val="single" w:sz="4" w:space="0" w:color="57CCFF" w:themeColor="accent2" w:themeTint="97"/>
          <w:right w:val="single" w:sz="4" w:space="0" w:color="57CCFF" w:themeColor="accent2" w:themeTint="97"/>
        </w:tcBorders>
        <w:shd w:val="clear" w:color="57CCFF" w:themeColor="accent2" w:themeTint="97" w:fill="57CCFF" w:themeFill="accent2" w:themeFillTint="97"/>
      </w:tcPr>
    </w:tblStylePr>
    <w:tblStylePr w:type="lastRow">
      <w:rPr>
        <w:b/>
        <w:color w:val="404040"/>
      </w:rPr>
      <w:tblPr/>
      <w:tcPr>
        <w:tcBorders>
          <w:top w:val="single" w:sz="4" w:space="0" w:color="57CCFF"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EEFF" w:themeColor="accent2" w:themeTint="32" w:fill="C7EEFF" w:themeFill="accent2" w:themeFillTint="32"/>
      </w:tcPr>
    </w:tblStylePr>
    <w:tblStylePr w:type="band1Horz">
      <w:rPr>
        <w:rFonts w:ascii="Arial" w:hAnsi="Arial"/>
        <w:color w:val="404040"/>
        <w:sz w:val="22"/>
      </w:rPr>
      <w:tblPr/>
      <w:tcPr>
        <w:shd w:val="clear" w:color="C7EEFF" w:themeColor="accent2" w:themeTint="32" w:fill="C7EEFF"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42FFF6" w:themeColor="accent3" w:themeTint="90"/>
        <w:left w:val="single" w:sz="4" w:space="0" w:color="42FFF6" w:themeColor="accent3" w:themeTint="90"/>
        <w:bottom w:val="single" w:sz="4" w:space="0" w:color="42FFF6" w:themeColor="accent3" w:themeTint="90"/>
        <w:right w:val="single" w:sz="4" w:space="0" w:color="42FFF6" w:themeColor="accent3" w:themeTint="90"/>
        <w:insideH w:val="single" w:sz="4" w:space="0" w:color="42FFF6" w:themeColor="accent3" w:themeTint="90"/>
        <w:insideV w:val="single" w:sz="4" w:space="0" w:color="42FFF6" w:themeColor="accent3" w:themeTint="90"/>
      </w:tblBorders>
    </w:tblPr>
    <w:tblStylePr w:type="firstRow">
      <w:rPr>
        <w:rFonts w:ascii="Arial" w:hAnsi="Arial"/>
        <w:b/>
        <w:color w:val="FFFFFF"/>
        <w:sz w:val="22"/>
      </w:rPr>
      <w:tblPr/>
      <w:tcPr>
        <w:tcBorders>
          <w:top w:val="single" w:sz="4" w:space="0" w:color="00B1A9" w:themeColor="accent3" w:themeTint="FE"/>
          <w:left w:val="single" w:sz="4" w:space="0" w:color="00B1A9" w:themeColor="accent3" w:themeTint="FE"/>
          <w:bottom w:val="single" w:sz="4" w:space="0" w:color="00B1A9" w:themeColor="accent3" w:themeTint="FE"/>
          <w:right w:val="single" w:sz="4" w:space="0" w:color="00B1A9" w:themeColor="accent3" w:themeTint="FE"/>
        </w:tcBorders>
        <w:shd w:val="clear" w:color="00B1A9" w:themeColor="accent3" w:themeTint="FE" w:fill="00B1A9" w:themeFill="accent3" w:themeFillTint="FE"/>
      </w:tcPr>
    </w:tblStylePr>
    <w:tblStylePr w:type="lastRow">
      <w:rPr>
        <w:b/>
        <w:color w:val="404040"/>
      </w:rPr>
      <w:tblPr/>
      <w:tcPr>
        <w:tcBorders>
          <w:top w:val="single" w:sz="4" w:space="0" w:color="00B1A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AFFFC" w:themeColor="accent3" w:themeTint="34" w:fill="BAFFFC" w:themeFill="accent3" w:themeFillTint="34"/>
      </w:tcPr>
    </w:tblStylePr>
    <w:tblStylePr w:type="band1Horz">
      <w:rPr>
        <w:rFonts w:ascii="Arial" w:hAnsi="Arial"/>
        <w:color w:val="404040"/>
        <w:sz w:val="22"/>
      </w:rPr>
      <w:tblPr/>
      <w:tcPr>
        <w:shd w:val="clear" w:color="BAFFFC" w:themeColor="accent3" w:themeTint="34" w:fill="BAFFF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54EEFF" w:themeColor="accent4" w:themeTint="90"/>
        <w:left w:val="single" w:sz="4" w:space="0" w:color="54EEFF" w:themeColor="accent4" w:themeTint="90"/>
        <w:bottom w:val="single" w:sz="4" w:space="0" w:color="54EEFF" w:themeColor="accent4" w:themeTint="90"/>
        <w:right w:val="single" w:sz="4" w:space="0" w:color="54EEFF" w:themeColor="accent4" w:themeTint="90"/>
        <w:insideH w:val="single" w:sz="4" w:space="0" w:color="54EEFF" w:themeColor="accent4" w:themeTint="90"/>
        <w:insideV w:val="single" w:sz="4" w:space="0" w:color="54EEFF" w:themeColor="accent4" w:themeTint="90"/>
      </w:tblBorders>
    </w:tblPr>
    <w:tblStylePr w:type="firstRow">
      <w:rPr>
        <w:rFonts w:ascii="Arial" w:hAnsi="Arial"/>
        <w:b/>
        <w:color w:val="FFFFFF"/>
        <w:sz w:val="22"/>
      </w:rPr>
      <w:tblPr/>
      <w:tcPr>
        <w:tcBorders>
          <w:top w:val="single" w:sz="4" w:space="0" w:color="48EDFF" w:themeColor="accent4" w:themeTint="9A"/>
          <w:left w:val="single" w:sz="4" w:space="0" w:color="48EDFF" w:themeColor="accent4" w:themeTint="9A"/>
          <w:bottom w:val="single" w:sz="4" w:space="0" w:color="48EDFF" w:themeColor="accent4" w:themeTint="9A"/>
          <w:right w:val="single" w:sz="4" w:space="0" w:color="48EDFF" w:themeColor="accent4" w:themeTint="9A"/>
        </w:tcBorders>
        <w:shd w:val="clear" w:color="48EDFF" w:themeColor="accent4" w:themeTint="9A" w:fill="48EDFF" w:themeFill="accent4" w:themeFillTint="9A"/>
      </w:tcPr>
    </w:tblStylePr>
    <w:tblStylePr w:type="lastRow">
      <w:rPr>
        <w:b/>
        <w:color w:val="404040"/>
      </w:rPr>
      <w:tblPr/>
      <w:tcPr>
        <w:tcBorders>
          <w:top w:val="single" w:sz="4" w:space="0" w:color="48ED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1F8FF" w:themeColor="accent4" w:themeTint="34" w:fill="C1F8FF" w:themeFill="accent4" w:themeFillTint="34"/>
      </w:tcPr>
    </w:tblStylePr>
    <w:tblStylePr w:type="band1Horz">
      <w:rPr>
        <w:rFonts w:ascii="Arial" w:hAnsi="Arial"/>
        <w:color w:val="404040"/>
        <w:sz w:val="22"/>
      </w:rPr>
      <w:tblPr/>
      <w:tcPr>
        <w:shd w:val="clear" w:color="C1F8FF" w:themeColor="accent4" w:themeTint="34" w:fill="C1F8FF"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9BADD" w:themeColor="accent5" w:themeTint="90"/>
        <w:left w:val="single" w:sz="4" w:space="0" w:color="A9BADD" w:themeColor="accent5" w:themeTint="90"/>
        <w:bottom w:val="single" w:sz="4" w:space="0" w:color="A9BADD" w:themeColor="accent5" w:themeTint="90"/>
        <w:right w:val="single" w:sz="4" w:space="0" w:color="A9BADD" w:themeColor="accent5" w:themeTint="90"/>
        <w:insideH w:val="single" w:sz="4" w:space="0" w:color="A9BADD" w:themeColor="accent5" w:themeTint="90"/>
        <w:insideV w:val="single" w:sz="4" w:space="0" w:color="A9BADD" w:themeColor="accent5" w:themeTint="90"/>
      </w:tblBorders>
    </w:tblPr>
    <w:tblStylePr w:type="firstRow">
      <w:rPr>
        <w:rFonts w:ascii="Arial" w:hAnsi="Arial"/>
        <w:b/>
        <w:color w:val="FFFFFF"/>
        <w:sz w:val="22"/>
      </w:rPr>
      <w:tblPr/>
      <w:tcPr>
        <w:tcBorders>
          <w:top w:val="single" w:sz="4" w:space="0" w:color="6787C4" w:themeColor="accent5"/>
          <w:left w:val="single" w:sz="4" w:space="0" w:color="6787C4" w:themeColor="accent5"/>
          <w:bottom w:val="single" w:sz="4" w:space="0" w:color="6787C4" w:themeColor="accent5"/>
          <w:right w:val="single" w:sz="4" w:space="0" w:color="6787C4" w:themeColor="accent5"/>
        </w:tcBorders>
        <w:shd w:val="clear" w:color="6787C4" w:themeColor="accent5" w:fill="6787C4" w:themeFill="accent5"/>
      </w:tcPr>
    </w:tblStylePr>
    <w:tblStylePr w:type="lastRow">
      <w:rPr>
        <w:b/>
        <w:color w:val="404040"/>
      </w:rPr>
      <w:tblPr/>
      <w:tcPr>
        <w:tcBorders>
          <w:top w:val="single" w:sz="4" w:space="0" w:color="6787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E6F3" w:themeColor="accent5" w:themeTint="34" w:fill="DFE6F3" w:themeFill="accent5" w:themeFillTint="34"/>
      </w:tcPr>
    </w:tblStylePr>
    <w:tblStylePr w:type="band1Horz">
      <w:rPr>
        <w:rFonts w:ascii="Arial" w:hAnsi="Arial"/>
        <w:color w:val="404040"/>
        <w:sz w:val="22"/>
      </w:rPr>
      <w:tblPr/>
      <w:tcPr>
        <w:shd w:val="clear" w:color="DFE6F3" w:themeColor="accent5" w:themeTint="34" w:fill="DFE6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C898C9" w:themeColor="accent6" w:themeTint="90"/>
        <w:left w:val="single" w:sz="4" w:space="0" w:color="C898C9" w:themeColor="accent6" w:themeTint="90"/>
        <w:bottom w:val="single" w:sz="4" w:space="0" w:color="C898C9" w:themeColor="accent6" w:themeTint="90"/>
        <w:right w:val="single" w:sz="4" w:space="0" w:color="C898C9" w:themeColor="accent6" w:themeTint="90"/>
        <w:insideH w:val="single" w:sz="4" w:space="0" w:color="C898C9" w:themeColor="accent6" w:themeTint="90"/>
        <w:insideV w:val="single" w:sz="4" w:space="0" w:color="C898C9" w:themeColor="accent6" w:themeTint="90"/>
      </w:tblBorders>
    </w:tblPr>
    <w:tblStylePr w:type="firstRow">
      <w:rPr>
        <w:rFonts w:ascii="Arial" w:hAnsi="Arial"/>
        <w:b/>
        <w:color w:val="FFFFFF"/>
        <w:sz w:val="22"/>
      </w:rPr>
      <w:tblPr/>
      <w:tcPr>
        <w:tcBorders>
          <w:top w:val="single" w:sz="4" w:space="0" w:color="99509A" w:themeColor="accent6"/>
          <w:left w:val="single" w:sz="4" w:space="0" w:color="99509A" w:themeColor="accent6"/>
          <w:bottom w:val="single" w:sz="4" w:space="0" w:color="99509A" w:themeColor="accent6"/>
          <w:right w:val="single" w:sz="4" w:space="0" w:color="99509A" w:themeColor="accent6"/>
        </w:tcBorders>
        <w:shd w:val="clear" w:color="99509A" w:themeColor="accent6" w:fill="99509A" w:themeFill="accent6"/>
      </w:tcPr>
    </w:tblStylePr>
    <w:tblStylePr w:type="lastRow">
      <w:rPr>
        <w:b/>
        <w:color w:val="404040"/>
      </w:rPr>
      <w:tblPr/>
      <w:tcPr>
        <w:tcBorders>
          <w:top w:val="single" w:sz="4" w:space="0" w:color="99509A"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BD9EB" w:themeColor="accent6" w:themeTint="34" w:fill="EBD9EB" w:themeFill="accent6" w:themeFillTint="34"/>
      </w:tcPr>
    </w:tblStylePr>
    <w:tblStylePr w:type="band1Horz">
      <w:rPr>
        <w:rFonts w:ascii="Arial" w:hAnsi="Arial"/>
        <w:color w:val="404040"/>
        <w:sz w:val="22"/>
      </w:rPr>
      <w:tblPr/>
      <w:tcPr>
        <w:shd w:val="clear" w:color="EBD9EB" w:themeColor="accent6" w:themeTint="34" w:fill="EBD9EB"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3E1FF" w:themeColor="accent1" w:themeTint="34" w:fill="B3E1FF" w:themeFill="accent1" w:themeFillTint="34"/>
    </w:tblPr>
    <w:tblStylePr w:type="firstRow">
      <w:rPr>
        <w:rFonts w:ascii="Arial" w:hAnsi="Arial"/>
        <w:b/>
        <w:color w:val="FFFFFF"/>
        <w:sz w:val="22"/>
      </w:rPr>
      <w:tblPr/>
      <w:tcPr>
        <w:shd w:val="clear" w:color="00558C" w:themeColor="accent1" w:fill="00558C" w:themeFill="accent1"/>
      </w:tcPr>
    </w:tblStylePr>
    <w:tblStylePr w:type="lastRow">
      <w:rPr>
        <w:rFonts w:ascii="Arial" w:hAnsi="Arial"/>
        <w:b/>
        <w:color w:val="FFFFFF"/>
        <w:sz w:val="22"/>
      </w:rPr>
      <w:tblPr/>
      <w:tcPr>
        <w:tcBorders>
          <w:top w:val="single" w:sz="4" w:space="0" w:color="FFFFFF" w:themeColor="light1"/>
        </w:tcBorders>
        <w:shd w:val="clear" w:color="00558C" w:themeColor="accent1" w:fill="00558C" w:themeFill="accent1"/>
      </w:tcPr>
    </w:tblStylePr>
    <w:tblStylePr w:type="firstCol">
      <w:rPr>
        <w:rFonts w:ascii="Arial" w:hAnsi="Arial"/>
        <w:b/>
        <w:color w:val="FFFFFF"/>
        <w:sz w:val="22"/>
      </w:rPr>
      <w:tblPr/>
      <w:tcPr>
        <w:shd w:val="clear" w:color="00558C" w:themeColor="accent1" w:fill="00558C" w:themeFill="accent1"/>
      </w:tcPr>
    </w:tblStylePr>
    <w:tblStylePr w:type="lastCol">
      <w:rPr>
        <w:rFonts w:ascii="Arial" w:hAnsi="Arial"/>
        <w:b/>
        <w:color w:val="FFFFFF"/>
        <w:sz w:val="22"/>
      </w:rPr>
      <w:tblPr/>
      <w:tcPr>
        <w:shd w:val="clear" w:color="00558C" w:themeColor="accent1" w:fill="00558C" w:themeFill="accent1"/>
      </w:tcPr>
    </w:tblStylePr>
    <w:tblStylePr w:type="band1Vert">
      <w:tblPr/>
      <w:tcPr>
        <w:shd w:val="clear" w:color="55BBFF" w:themeColor="accent1" w:themeTint="75" w:fill="55BBFF" w:themeFill="accent1" w:themeFillTint="75"/>
      </w:tcPr>
    </w:tblStylePr>
    <w:tblStylePr w:type="band1Horz">
      <w:tblPr/>
      <w:tcPr>
        <w:shd w:val="clear" w:color="55BBFF" w:themeColor="accent1" w:themeTint="75" w:fill="55BBFF"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7EEFF" w:themeColor="accent2" w:themeTint="32" w:fill="C7EEFF" w:themeFill="accent2" w:themeFillTint="32"/>
    </w:tblPr>
    <w:tblStylePr w:type="firstRow">
      <w:rPr>
        <w:rFonts w:ascii="Arial" w:hAnsi="Arial"/>
        <w:b/>
        <w:color w:val="FFFFFF"/>
        <w:sz w:val="22"/>
      </w:rPr>
      <w:tblPr/>
      <w:tcPr>
        <w:shd w:val="clear" w:color="009FE3" w:themeColor="accent2" w:fill="009FE3" w:themeFill="accent2"/>
      </w:tcPr>
    </w:tblStylePr>
    <w:tblStylePr w:type="lastRow">
      <w:rPr>
        <w:rFonts w:ascii="Arial" w:hAnsi="Arial"/>
        <w:b/>
        <w:color w:val="FFFFFF"/>
        <w:sz w:val="22"/>
      </w:rPr>
      <w:tblPr/>
      <w:tcPr>
        <w:tcBorders>
          <w:top w:val="single" w:sz="4" w:space="0" w:color="FFFFFF" w:themeColor="light1"/>
        </w:tcBorders>
        <w:shd w:val="clear" w:color="009FE3" w:themeColor="accent2" w:fill="009FE3" w:themeFill="accent2"/>
      </w:tcPr>
    </w:tblStylePr>
    <w:tblStylePr w:type="firstCol">
      <w:rPr>
        <w:rFonts w:ascii="Arial" w:hAnsi="Arial"/>
        <w:b/>
        <w:color w:val="FFFFFF"/>
        <w:sz w:val="22"/>
      </w:rPr>
      <w:tblPr/>
      <w:tcPr>
        <w:shd w:val="clear" w:color="009FE3" w:themeColor="accent2" w:fill="009FE3" w:themeFill="accent2"/>
      </w:tcPr>
    </w:tblStylePr>
    <w:tblStylePr w:type="lastCol">
      <w:rPr>
        <w:rFonts w:ascii="Arial" w:hAnsi="Arial"/>
        <w:b/>
        <w:color w:val="FFFFFF"/>
        <w:sz w:val="22"/>
      </w:rPr>
      <w:tblPr/>
      <w:tcPr>
        <w:shd w:val="clear" w:color="009FE3" w:themeColor="accent2" w:fill="009FE3" w:themeFill="accent2"/>
      </w:tcPr>
    </w:tblStylePr>
    <w:tblStylePr w:type="band1Vert">
      <w:tblPr/>
      <w:tcPr>
        <w:shd w:val="clear" w:color="7DD7FF" w:themeColor="accent2" w:themeTint="75" w:fill="7DD7FF" w:themeFill="accent2" w:themeFillTint="75"/>
      </w:tcPr>
    </w:tblStylePr>
    <w:tblStylePr w:type="band1Horz">
      <w:tblPr/>
      <w:tcPr>
        <w:shd w:val="clear" w:color="7DD7FF" w:themeColor="accent2" w:themeTint="75" w:fill="7DD7FF"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AFFFC" w:themeColor="accent3" w:themeTint="34" w:fill="BAFFFC" w:themeFill="accent3" w:themeFillTint="34"/>
    </w:tblPr>
    <w:tblStylePr w:type="firstRow">
      <w:rPr>
        <w:rFonts w:ascii="Arial" w:hAnsi="Arial"/>
        <w:b/>
        <w:color w:val="FFFFFF"/>
        <w:sz w:val="22"/>
      </w:rPr>
      <w:tblPr/>
      <w:tcPr>
        <w:shd w:val="clear" w:color="00B0A9" w:themeColor="accent3" w:fill="00B0A9" w:themeFill="accent3"/>
      </w:tcPr>
    </w:tblStylePr>
    <w:tblStylePr w:type="lastRow">
      <w:rPr>
        <w:rFonts w:ascii="Arial" w:hAnsi="Arial"/>
        <w:b/>
        <w:color w:val="FFFFFF"/>
        <w:sz w:val="22"/>
      </w:rPr>
      <w:tblPr/>
      <w:tcPr>
        <w:tcBorders>
          <w:top w:val="single" w:sz="4" w:space="0" w:color="FFFFFF" w:themeColor="light1"/>
        </w:tcBorders>
        <w:shd w:val="clear" w:color="00B0A9" w:themeColor="accent3" w:fill="00B0A9" w:themeFill="accent3"/>
      </w:tcPr>
    </w:tblStylePr>
    <w:tblStylePr w:type="firstCol">
      <w:rPr>
        <w:rFonts w:ascii="Arial" w:hAnsi="Arial"/>
        <w:b/>
        <w:color w:val="FFFFFF"/>
        <w:sz w:val="22"/>
      </w:rPr>
      <w:tblPr/>
      <w:tcPr>
        <w:shd w:val="clear" w:color="00B0A9" w:themeColor="accent3" w:fill="00B0A9" w:themeFill="accent3"/>
      </w:tcPr>
    </w:tblStylePr>
    <w:tblStylePr w:type="lastCol">
      <w:rPr>
        <w:rFonts w:ascii="Arial" w:hAnsi="Arial"/>
        <w:b/>
        <w:color w:val="FFFFFF"/>
        <w:sz w:val="22"/>
      </w:rPr>
      <w:tblPr/>
      <w:tcPr>
        <w:shd w:val="clear" w:color="00B0A9" w:themeColor="accent3" w:fill="00B0A9" w:themeFill="accent3"/>
      </w:tcPr>
    </w:tblStylePr>
    <w:tblStylePr w:type="band1Vert">
      <w:tblPr/>
      <w:tcPr>
        <w:shd w:val="clear" w:color="65FFF8" w:themeColor="accent3" w:themeTint="75" w:fill="65FFF8" w:themeFill="accent3" w:themeFillTint="75"/>
      </w:tcPr>
    </w:tblStylePr>
    <w:tblStylePr w:type="band1Horz">
      <w:tblPr/>
      <w:tcPr>
        <w:shd w:val="clear" w:color="65FFF8" w:themeColor="accent3" w:themeTint="75" w:fill="65FFF8"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1F8FF" w:themeColor="accent4" w:themeTint="34" w:fill="C1F8FF" w:themeFill="accent4" w:themeFillTint="34"/>
    </w:tblPr>
    <w:tblStylePr w:type="firstRow">
      <w:rPr>
        <w:rFonts w:ascii="Arial" w:hAnsi="Arial"/>
        <w:b/>
        <w:color w:val="FFFFFF"/>
        <w:sz w:val="22"/>
      </w:rPr>
      <w:tblPr/>
      <w:tcPr>
        <w:shd w:val="clear" w:color="00BCD0" w:themeColor="accent4" w:fill="00BCD0" w:themeFill="accent4"/>
      </w:tcPr>
    </w:tblStylePr>
    <w:tblStylePr w:type="lastRow">
      <w:rPr>
        <w:rFonts w:ascii="Arial" w:hAnsi="Arial"/>
        <w:b/>
        <w:color w:val="FFFFFF"/>
        <w:sz w:val="22"/>
      </w:rPr>
      <w:tblPr/>
      <w:tcPr>
        <w:tcBorders>
          <w:top w:val="single" w:sz="4" w:space="0" w:color="FFFFFF" w:themeColor="light1"/>
        </w:tcBorders>
        <w:shd w:val="clear" w:color="00BCD0" w:themeColor="accent4" w:fill="00BCD0" w:themeFill="accent4"/>
      </w:tcPr>
    </w:tblStylePr>
    <w:tblStylePr w:type="firstCol">
      <w:rPr>
        <w:rFonts w:ascii="Arial" w:hAnsi="Arial"/>
        <w:b/>
        <w:color w:val="FFFFFF"/>
        <w:sz w:val="22"/>
      </w:rPr>
      <w:tblPr/>
      <w:tcPr>
        <w:shd w:val="clear" w:color="00BCD0" w:themeColor="accent4" w:fill="00BCD0" w:themeFill="accent4"/>
      </w:tcPr>
    </w:tblStylePr>
    <w:tblStylePr w:type="lastCol">
      <w:rPr>
        <w:rFonts w:ascii="Arial" w:hAnsi="Arial"/>
        <w:b/>
        <w:color w:val="FFFFFF"/>
        <w:sz w:val="22"/>
      </w:rPr>
      <w:tblPr/>
      <w:tcPr>
        <w:shd w:val="clear" w:color="00BCD0" w:themeColor="accent4" w:fill="00BCD0" w:themeFill="accent4"/>
      </w:tcPr>
    </w:tblStylePr>
    <w:tblStylePr w:type="band1Vert">
      <w:tblPr/>
      <w:tcPr>
        <w:shd w:val="clear" w:color="74F1FF" w:themeColor="accent4" w:themeTint="75" w:fill="74F1FF" w:themeFill="accent4" w:themeFillTint="75"/>
      </w:tcPr>
    </w:tblStylePr>
    <w:tblStylePr w:type="band1Horz">
      <w:tblPr/>
      <w:tcPr>
        <w:shd w:val="clear" w:color="74F1FF" w:themeColor="accent4" w:themeTint="75" w:fill="74F1FF"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FE6F3" w:themeColor="accent5" w:themeTint="34" w:fill="DFE6F3" w:themeFill="accent5" w:themeFillTint="34"/>
    </w:tblPr>
    <w:tblStylePr w:type="firstRow">
      <w:rPr>
        <w:rFonts w:ascii="Arial" w:hAnsi="Arial"/>
        <w:b/>
        <w:color w:val="FFFFFF"/>
        <w:sz w:val="22"/>
      </w:rPr>
      <w:tblPr/>
      <w:tcPr>
        <w:shd w:val="clear" w:color="6787C4" w:themeColor="accent5" w:fill="6787C4" w:themeFill="accent5"/>
      </w:tcPr>
    </w:tblStylePr>
    <w:tblStylePr w:type="lastRow">
      <w:rPr>
        <w:rFonts w:ascii="Arial" w:hAnsi="Arial"/>
        <w:b/>
        <w:color w:val="FFFFFF"/>
        <w:sz w:val="22"/>
      </w:rPr>
      <w:tblPr/>
      <w:tcPr>
        <w:tcBorders>
          <w:top w:val="single" w:sz="4" w:space="0" w:color="FFFFFF" w:themeColor="light1"/>
        </w:tcBorders>
        <w:shd w:val="clear" w:color="6787C4" w:themeColor="accent5" w:fill="6787C4" w:themeFill="accent5"/>
      </w:tcPr>
    </w:tblStylePr>
    <w:tblStylePr w:type="firstCol">
      <w:rPr>
        <w:rFonts w:ascii="Arial" w:hAnsi="Arial"/>
        <w:b/>
        <w:color w:val="FFFFFF"/>
        <w:sz w:val="22"/>
      </w:rPr>
      <w:tblPr/>
      <w:tcPr>
        <w:shd w:val="clear" w:color="6787C4" w:themeColor="accent5" w:fill="6787C4" w:themeFill="accent5"/>
      </w:tcPr>
    </w:tblStylePr>
    <w:tblStylePr w:type="lastCol">
      <w:rPr>
        <w:rFonts w:ascii="Arial" w:hAnsi="Arial"/>
        <w:b/>
        <w:color w:val="FFFFFF"/>
        <w:sz w:val="22"/>
      </w:rPr>
      <w:tblPr/>
      <w:tcPr>
        <w:shd w:val="clear" w:color="6787C4" w:themeColor="accent5" w:fill="6787C4" w:themeFill="accent5"/>
      </w:tcPr>
    </w:tblStylePr>
    <w:tblStylePr w:type="band1Vert">
      <w:tblPr/>
      <w:tcPr>
        <w:shd w:val="clear" w:color="B9C7E4" w:themeColor="accent5" w:themeTint="75" w:fill="B9C7E4" w:themeFill="accent5" w:themeFillTint="75"/>
      </w:tcPr>
    </w:tblStylePr>
    <w:tblStylePr w:type="band1Horz">
      <w:tblPr/>
      <w:tcPr>
        <w:shd w:val="clear" w:color="B9C7E4" w:themeColor="accent5" w:themeTint="75" w:fill="B9C7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BD9EB" w:themeColor="accent6" w:themeTint="34" w:fill="EBD9EB" w:themeFill="accent6" w:themeFillTint="34"/>
    </w:tblPr>
    <w:tblStylePr w:type="firstRow">
      <w:rPr>
        <w:rFonts w:ascii="Arial" w:hAnsi="Arial"/>
        <w:b/>
        <w:color w:val="FFFFFF"/>
        <w:sz w:val="22"/>
      </w:rPr>
      <w:tblPr/>
      <w:tcPr>
        <w:shd w:val="clear" w:color="99509A" w:themeColor="accent6" w:fill="99509A" w:themeFill="accent6"/>
      </w:tcPr>
    </w:tblStylePr>
    <w:tblStylePr w:type="lastRow">
      <w:rPr>
        <w:rFonts w:ascii="Arial" w:hAnsi="Arial"/>
        <w:b/>
        <w:color w:val="FFFFFF"/>
        <w:sz w:val="22"/>
      </w:rPr>
      <w:tblPr/>
      <w:tcPr>
        <w:tcBorders>
          <w:top w:val="single" w:sz="4" w:space="0" w:color="FFFFFF" w:themeColor="light1"/>
        </w:tcBorders>
        <w:shd w:val="clear" w:color="99509A" w:themeColor="accent6" w:fill="99509A" w:themeFill="accent6"/>
      </w:tcPr>
    </w:tblStylePr>
    <w:tblStylePr w:type="firstCol">
      <w:rPr>
        <w:rFonts w:ascii="Arial" w:hAnsi="Arial"/>
        <w:b/>
        <w:color w:val="FFFFFF"/>
        <w:sz w:val="22"/>
      </w:rPr>
      <w:tblPr/>
      <w:tcPr>
        <w:shd w:val="clear" w:color="99509A" w:themeColor="accent6" w:fill="99509A" w:themeFill="accent6"/>
      </w:tcPr>
    </w:tblStylePr>
    <w:tblStylePr w:type="lastCol">
      <w:rPr>
        <w:rFonts w:ascii="Arial" w:hAnsi="Arial"/>
        <w:b/>
        <w:color w:val="FFFFFF"/>
        <w:sz w:val="22"/>
      </w:rPr>
      <w:tblPr/>
      <w:tcPr>
        <w:shd w:val="clear" w:color="99509A" w:themeColor="accent6" w:fill="99509A" w:themeFill="accent6"/>
      </w:tcPr>
    </w:tblStylePr>
    <w:tblStylePr w:type="band1Vert">
      <w:tblPr/>
      <w:tcPr>
        <w:shd w:val="clear" w:color="D3ABD3" w:themeColor="accent6" w:themeTint="75" w:fill="D3ABD3" w:themeFill="accent6" w:themeFillTint="75"/>
      </w:tcPr>
    </w:tblStylePr>
    <w:tblStylePr w:type="band1Horz">
      <w:tblPr/>
      <w:tcPr>
        <w:shd w:val="clear" w:color="D3ABD3" w:themeColor="accent6" w:themeTint="75" w:fill="D3ABD3"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45B5FF" w:themeColor="accent1" w:themeTint="80"/>
        <w:left w:val="single" w:sz="4" w:space="0" w:color="45B5FF" w:themeColor="accent1" w:themeTint="80"/>
        <w:bottom w:val="single" w:sz="4" w:space="0" w:color="45B5FF" w:themeColor="accent1" w:themeTint="80"/>
        <w:right w:val="single" w:sz="4" w:space="0" w:color="45B5FF" w:themeColor="accent1" w:themeTint="80"/>
        <w:insideH w:val="single" w:sz="4" w:space="0" w:color="45B5FF" w:themeColor="accent1" w:themeTint="80"/>
        <w:insideV w:val="single" w:sz="4" w:space="0" w:color="45B5FF" w:themeColor="accent1" w:themeTint="80"/>
      </w:tblBorders>
    </w:tblPr>
    <w:tblStylePr w:type="firstRow">
      <w:rPr>
        <w:b/>
        <w:color w:val="45B5FF" w:themeColor="accent1" w:themeTint="80" w:themeShade="95"/>
      </w:rPr>
      <w:tblPr/>
      <w:tcPr>
        <w:tcBorders>
          <w:bottom w:val="single" w:sz="12" w:space="0" w:color="45B5FF" w:themeColor="accent1" w:themeTint="80"/>
        </w:tcBorders>
      </w:tcPr>
    </w:tblStylePr>
    <w:tblStylePr w:type="lastRow">
      <w:rPr>
        <w:b/>
        <w:color w:val="45B5FF" w:themeColor="accent1" w:themeTint="80" w:themeShade="95"/>
      </w:rPr>
    </w:tblStylePr>
    <w:tblStylePr w:type="firstCol">
      <w:rPr>
        <w:b/>
        <w:color w:val="45B5FF" w:themeColor="accent1" w:themeTint="80" w:themeShade="95"/>
      </w:rPr>
    </w:tblStylePr>
    <w:tblStylePr w:type="lastCol">
      <w:rPr>
        <w:b/>
        <w:color w:val="45B5FF" w:themeColor="accent1" w:themeTint="80" w:themeShade="95"/>
      </w:rPr>
    </w:tblStylePr>
    <w:tblStylePr w:type="band1Vert">
      <w:tblPr/>
      <w:tcPr>
        <w:shd w:val="clear" w:color="B3E1FF" w:themeColor="accent1" w:themeTint="34" w:fill="B3E1FF" w:themeFill="accent1" w:themeFillTint="34"/>
      </w:tcPr>
    </w:tblStylePr>
    <w:tblStylePr w:type="band1Horz">
      <w:rPr>
        <w:rFonts w:ascii="Arial" w:hAnsi="Arial"/>
        <w:color w:val="45B5FF" w:themeColor="accent1" w:themeTint="80" w:themeShade="95"/>
        <w:sz w:val="22"/>
      </w:rPr>
      <w:tblPr/>
      <w:tcPr>
        <w:shd w:val="clear" w:color="B3E1FF" w:themeColor="accent1" w:themeTint="34" w:fill="B3E1FF" w:themeFill="accent1" w:themeFillTint="34"/>
      </w:tcPr>
    </w:tblStylePr>
    <w:tblStylePr w:type="band2Horz">
      <w:rPr>
        <w:rFonts w:ascii="Arial" w:hAnsi="Arial"/>
        <w:color w:val="45B5FF"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57CCFF" w:themeColor="accent2" w:themeTint="97"/>
        <w:left w:val="single" w:sz="4" w:space="0" w:color="57CCFF" w:themeColor="accent2" w:themeTint="97"/>
        <w:bottom w:val="single" w:sz="4" w:space="0" w:color="57CCFF" w:themeColor="accent2" w:themeTint="97"/>
        <w:right w:val="single" w:sz="4" w:space="0" w:color="57CCFF" w:themeColor="accent2" w:themeTint="97"/>
        <w:insideH w:val="single" w:sz="4" w:space="0" w:color="57CCFF" w:themeColor="accent2" w:themeTint="97"/>
        <w:insideV w:val="single" w:sz="4" w:space="0" w:color="57CCFF" w:themeColor="accent2" w:themeTint="97"/>
      </w:tblBorders>
    </w:tblPr>
    <w:tblStylePr w:type="firstRow">
      <w:rPr>
        <w:b/>
        <w:color w:val="57CCFF" w:themeColor="accent2" w:themeTint="97" w:themeShade="95"/>
      </w:rPr>
      <w:tblPr/>
      <w:tcPr>
        <w:tcBorders>
          <w:bottom w:val="single" w:sz="12" w:space="0" w:color="57CCFF" w:themeColor="accent2" w:themeTint="97"/>
        </w:tcBorders>
      </w:tcPr>
    </w:tblStylePr>
    <w:tblStylePr w:type="lastRow">
      <w:rPr>
        <w:b/>
        <w:color w:val="57CCFF" w:themeColor="accent2" w:themeTint="97" w:themeShade="95"/>
      </w:rPr>
    </w:tblStylePr>
    <w:tblStylePr w:type="firstCol">
      <w:rPr>
        <w:b/>
        <w:color w:val="57CCFF" w:themeColor="accent2" w:themeTint="97" w:themeShade="95"/>
      </w:rPr>
    </w:tblStylePr>
    <w:tblStylePr w:type="lastCol">
      <w:rPr>
        <w:b/>
        <w:color w:val="57CCFF" w:themeColor="accent2" w:themeTint="97" w:themeShade="95"/>
      </w:rPr>
    </w:tblStylePr>
    <w:tblStylePr w:type="band1Vert">
      <w:tblPr/>
      <w:tcPr>
        <w:shd w:val="clear" w:color="C7EEFF" w:themeColor="accent2" w:themeTint="32" w:fill="C7EEFF" w:themeFill="accent2" w:themeFillTint="32"/>
      </w:tcPr>
    </w:tblStylePr>
    <w:tblStylePr w:type="band1Horz">
      <w:rPr>
        <w:rFonts w:ascii="Arial" w:hAnsi="Arial"/>
        <w:color w:val="57CCFF" w:themeColor="accent2" w:themeTint="97" w:themeShade="95"/>
        <w:sz w:val="22"/>
      </w:rPr>
      <w:tblPr/>
      <w:tcPr>
        <w:shd w:val="clear" w:color="C7EEFF" w:themeColor="accent2" w:themeTint="32" w:fill="C7EEFF" w:themeFill="accent2" w:themeFillTint="32"/>
      </w:tcPr>
    </w:tblStylePr>
    <w:tblStylePr w:type="band2Horz">
      <w:rPr>
        <w:rFonts w:ascii="Arial" w:hAnsi="Arial"/>
        <w:color w:val="57CCFF"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00B1A9" w:themeColor="accent3" w:themeTint="FE"/>
        <w:left w:val="single" w:sz="4" w:space="0" w:color="00B1A9" w:themeColor="accent3" w:themeTint="FE"/>
        <w:bottom w:val="single" w:sz="4" w:space="0" w:color="00B1A9" w:themeColor="accent3" w:themeTint="FE"/>
        <w:right w:val="single" w:sz="4" w:space="0" w:color="00B1A9" w:themeColor="accent3" w:themeTint="FE"/>
        <w:insideH w:val="single" w:sz="4" w:space="0" w:color="00B1A9" w:themeColor="accent3" w:themeTint="FE"/>
        <w:insideV w:val="single" w:sz="4" w:space="0" w:color="00B1A9" w:themeColor="accent3" w:themeTint="FE"/>
      </w:tblBorders>
    </w:tblPr>
    <w:tblStylePr w:type="firstRow">
      <w:rPr>
        <w:b/>
        <w:color w:val="00B1A9" w:themeColor="accent3" w:themeTint="FE" w:themeShade="95"/>
      </w:rPr>
      <w:tblPr/>
      <w:tcPr>
        <w:tcBorders>
          <w:bottom w:val="single" w:sz="12" w:space="0" w:color="00B1A9" w:themeColor="accent3" w:themeTint="FE"/>
        </w:tcBorders>
      </w:tcPr>
    </w:tblStylePr>
    <w:tblStylePr w:type="lastRow">
      <w:rPr>
        <w:b/>
        <w:color w:val="00B1A9" w:themeColor="accent3" w:themeTint="FE" w:themeShade="95"/>
      </w:rPr>
    </w:tblStylePr>
    <w:tblStylePr w:type="firstCol">
      <w:rPr>
        <w:b/>
        <w:color w:val="00B1A9" w:themeColor="accent3" w:themeTint="FE" w:themeShade="95"/>
      </w:rPr>
    </w:tblStylePr>
    <w:tblStylePr w:type="lastCol">
      <w:rPr>
        <w:b/>
        <w:color w:val="00B1A9" w:themeColor="accent3" w:themeTint="FE" w:themeShade="95"/>
      </w:rPr>
    </w:tblStylePr>
    <w:tblStylePr w:type="band1Vert">
      <w:tblPr/>
      <w:tcPr>
        <w:shd w:val="clear" w:color="BAFFFC" w:themeColor="accent3" w:themeTint="34" w:fill="BAFFFC" w:themeFill="accent3" w:themeFillTint="34"/>
      </w:tcPr>
    </w:tblStylePr>
    <w:tblStylePr w:type="band1Horz">
      <w:rPr>
        <w:rFonts w:ascii="Arial" w:hAnsi="Arial"/>
        <w:color w:val="00B1A9" w:themeColor="accent3" w:themeTint="FE" w:themeShade="95"/>
        <w:sz w:val="22"/>
      </w:rPr>
      <w:tblPr/>
      <w:tcPr>
        <w:shd w:val="clear" w:color="BAFFFC" w:themeColor="accent3" w:themeTint="34" w:fill="BAFFFC" w:themeFill="accent3" w:themeFillTint="34"/>
      </w:tcPr>
    </w:tblStylePr>
    <w:tblStylePr w:type="band2Horz">
      <w:rPr>
        <w:rFonts w:ascii="Arial" w:hAnsi="Arial"/>
        <w:color w:val="00B1A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48EDFF" w:themeColor="accent4" w:themeTint="9A"/>
        <w:left w:val="single" w:sz="4" w:space="0" w:color="48EDFF" w:themeColor="accent4" w:themeTint="9A"/>
        <w:bottom w:val="single" w:sz="4" w:space="0" w:color="48EDFF" w:themeColor="accent4" w:themeTint="9A"/>
        <w:right w:val="single" w:sz="4" w:space="0" w:color="48EDFF" w:themeColor="accent4" w:themeTint="9A"/>
        <w:insideH w:val="single" w:sz="4" w:space="0" w:color="48EDFF" w:themeColor="accent4" w:themeTint="9A"/>
        <w:insideV w:val="single" w:sz="4" w:space="0" w:color="48EDFF" w:themeColor="accent4" w:themeTint="9A"/>
      </w:tblBorders>
    </w:tblPr>
    <w:tblStylePr w:type="firstRow">
      <w:rPr>
        <w:b/>
        <w:color w:val="48EDFF" w:themeColor="accent4" w:themeTint="9A" w:themeShade="95"/>
      </w:rPr>
      <w:tblPr/>
      <w:tcPr>
        <w:tcBorders>
          <w:bottom w:val="single" w:sz="12" w:space="0" w:color="48EDFF" w:themeColor="accent4" w:themeTint="9A"/>
        </w:tcBorders>
      </w:tcPr>
    </w:tblStylePr>
    <w:tblStylePr w:type="lastRow">
      <w:rPr>
        <w:b/>
        <w:color w:val="48EDFF" w:themeColor="accent4" w:themeTint="9A" w:themeShade="95"/>
      </w:rPr>
    </w:tblStylePr>
    <w:tblStylePr w:type="firstCol">
      <w:rPr>
        <w:b/>
        <w:color w:val="48EDFF" w:themeColor="accent4" w:themeTint="9A" w:themeShade="95"/>
      </w:rPr>
    </w:tblStylePr>
    <w:tblStylePr w:type="lastCol">
      <w:rPr>
        <w:b/>
        <w:color w:val="48EDFF" w:themeColor="accent4" w:themeTint="9A" w:themeShade="95"/>
      </w:rPr>
    </w:tblStylePr>
    <w:tblStylePr w:type="band1Vert">
      <w:tblPr/>
      <w:tcPr>
        <w:shd w:val="clear" w:color="C1F8FF" w:themeColor="accent4" w:themeTint="34" w:fill="C1F8FF" w:themeFill="accent4" w:themeFillTint="34"/>
      </w:tcPr>
    </w:tblStylePr>
    <w:tblStylePr w:type="band1Horz">
      <w:rPr>
        <w:rFonts w:ascii="Arial" w:hAnsi="Arial"/>
        <w:color w:val="48EDFF" w:themeColor="accent4" w:themeTint="9A" w:themeShade="95"/>
        <w:sz w:val="22"/>
      </w:rPr>
      <w:tblPr/>
      <w:tcPr>
        <w:shd w:val="clear" w:color="C1F8FF" w:themeColor="accent4" w:themeTint="34" w:fill="C1F8FF" w:themeFill="accent4" w:themeFillTint="34"/>
      </w:tcPr>
    </w:tblStylePr>
    <w:tblStylePr w:type="band2Horz">
      <w:rPr>
        <w:rFonts w:ascii="Arial" w:hAnsi="Arial"/>
        <w:color w:val="48EDFF"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6787C4" w:themeColor="accent5"/>
        <w:left w:val="single" w:sz="4" w:space="0" w:color="6787C4" w:themeColor="accent5"/>
        <w:bottom w:val="single" w:sz="4" w:space="0" w:color="6787C4" w:themeColor="accent5"/>
        <w:right w:val="single" w:sz="4" w:space="0" w:color="6787C4" w:themeColor="accent5"/>
        <w:insideH w:val="single" w:sz="4" w:space="0" w:color="6787C4" w:themeColor="accent5"/>
        <w:insideV w:val="single" w:sz="4" w:space="0" w:color="6787C4" w:themeColor="accent5"/>
      </w:tblBorders>
    </w:tblPr>
    <w:tblStylePr w:type="firstRow">
      <w:rPr>
        <w:b/>
        <w:color w:val="314B7D" w:themeColor="accent5" w:themeShade="95"/>
      </w:rPr>
      <w:tblPr/>
      <w:tcPr>
        <w:tcBorders>
          <w:bottom w:val="single" w:sz="12" w:space="0" w:color="6787C4" w:themeColor="accent5"/>
        </w:tcBorders>
      </w:tcPr>
    </w:tblStylePr>
    <w:tblStylePr w:type="lastRow">
      <w:rPr>
        <w:b/>
        <w:color w:val="314B7D" w:themeColor="accent5" w:themeShade="95"/>
      </w:rPr>
    </w:tblStylePr>
    <w:tblStylePr w:type="firstCol">
      <w:rPr>
        <w:b/>
        <w:color w:val="314B7D" w:themeColor="accent5" w:themeShade="95"/>
      </w:rPr>
    </w:tblStylePr>
    <w:tblStylePr w:type="lastCol">
      <w:rPr>
        <w:b/>
        <w:color w:val="314B7D" w:themeColor="accent5" w:themeShade="95"/>
      </w:rPr>
    </w:tblStylePr>
    <w:tblStylePr w:type="band1Vert">
      <w:tblPr/>
      <w:tcPr>
        <w:shd w:val="clear" w:color="DFE6F3" w:themeColor="accent5" w:themeTint="34" w:fill="DFE6F3" w:themeFill="accent5" w:themeFillTint="34"/>
      </w:tcPr>
    </w:tblStylePr>
    <w:tblStylePr w:type="band1Horz">
      <w:rPr>
        <w:rFonts w:ascii="Arial" w:hAnsi="Arial"/>
        <w:color w:val="314B7D" w:themeColor="accent5" w:themeShade="95"/>
        <w:sz w:val="22"/>
      </w:rPr>
      <w:tblPr/>
      <w:tcPr>
        <w:shd w:val="clear" w:color="DFE6F3" w:themeColor="accent5" w:themeTint="34" w:fill="DFE6F3" w:themeFill="accent5" w:themeFillTint="34"/>
      </w:tcPr>
    </w:tblStylePr>
    <w:tblStylePr w:type="band2Horz">
      <w:rPr>
        <w:rFonts w:ascii="Arial" w:hAnsi="Arial"/>
        <w:color w:val="314B7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99509A" w:themeColor="accent6"/>
        <w:left w:val="single" w:sz="4" w:space="0" w:color="99509A" w:themeColor="accent6"/>
        <w:bottom w:val="single" w:sz="4" w:space="0" w:color="99509A" w:themeColor="accent6"/>
        <w:right w:val="single" w:sz="4" w:space="0" w:color="99509A" w:themeColor="accent6"/>
        <w:insideH w:val="single" w:sz="4" w:space="0" w:color="99509A" w:themeColor="accent6"/>
        <w:insideV w:val="single" w:sz="4" w:space="0" w:color="99509A" w:themeColor="accent6"/>
      </w:tblBorders>
    </w:tblPr>
    <w:tblStylePr w:type="firstRow">
      <w:rPr>
        <w:b/>
        <w:color w:val="314B7D" w:themeColor="accent5" w:themeShade="95"/>
      </w:rPr>
      <w:tblPr/>
      <w:tcPr>
        <w:tcBorders>
          <w:bottom w:val="single" w:sz="12" w:space="0" w:color="99509A" w:themeColor="accent6"/>
        </w:tcBorders>
      </w:tcPr>
    </w:tblStylePr>
    <w:tblStylePr w:type="lastRow">
      <w:rPr>
        <w:b/>
        <w:color w:val="314B7D" w:themeColor="accent5" w:themeShade="95"/>
      </w:rPr>
    </w:tblStylePr>
    <w:tblStylePr w:type="firstCol">
      <w:rPr>
        <w:b/>
        <w:color w:val="314B7D" w:themeColor="accent5" w:themeShade="95"/>
      </w:rPr>
    </w:tblStylePr>
    <w:tblStylePr w:type="lastCol">
      <w:rPr>
        <w:b/>
        <w:color w:val="314B7D" w:themeColor="accent5" w:themeShade="95"/>
      </w:rPr>
    </w:tblStylePr>
    <w:tblStylePr w:type="band1Vert">
      <w:tblPr/>
      <w:tcPr>
        <w:shd w:val="clear" w:color="EBD9EB" w:themeColor="accent6" w:themeTint="34" w:fill="EBD9EB" w:themeFill="accent6" w:themeFillTint="34"/>
      </w:tcPr>
    </w:tblStylePr>
    <w:tblStylePr w:type="band1Horz">
      <w:rPr>
        <w:rFonts w:ascii="Arial" w:hAnsi="Arial"/>
        <w:color w:val="314B7D" w:themeColor="accent5" w:themeShade="95"/>
        <w:sz w:val="22"/>
      </w:rPr>
      <w:tblPr/>
      <w:tcPr>
        <w:shd w:val="clear" w:color="EBD9EB" w:themeColor="accent6" w:themeTint="34" w:fill="EBD9EB" w:themeFill="accent6" w:themeFillTint="34"/>
      </w:tcPr>
    </w:tblStylePr>
    <w:tblStylePr w:type="band2Horz">
      <w:rPr>
        <w:rFonts w:ascii="Arial" w:hAnsi="Arial"/>
        <w:color w:val="314B7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45B5FF" w:themeColor="accent1" w:themeTint="80"/>
        <w:right w:val="single" w:sz="4" w:space="0" w:color="45B5FF" w:themeColor="accent1" w:themeTint="80"/>
        <w:insideH w:val="single" w:sz="4" w:space="0" w:color="45B5FF" w:themeColor="accent1" w:themeTint="80"/>
        <w:insideV w:val="single" w:sz="4" w:space="0" w:color="45B5FF" w:themeColor="accent1" w:themeTint="80"/>
      </w:tblBorders>
    </w:tblPr>
    <w:tblStylePr w:type="firstRow">
      <w:rPr>
        <w:rFonts w:ascii="Arial" w:hAnsi="Arial"/>
        <w:b/>
        <w:color w:val="45B5FF" w:themeColor="accent1" w:themeTint="80" w:themeShade="95"/>
        <w:sz w:val="22"/>
      </w:rPr>
      <w:tblPr/>
      <w:tcPr>
        <w:tcBorders>
          <w:top w:val="none" w:sz="4" w:space="0" w:color="000000"/>
          <w:left w:val="none" w:sz="4" w:space="0" w:color="000000"/>
          <w:bottom w:val="single" w:sz="4" w:space="0" w:color="45B5FF" w:themeColor="accent1" w:themeTint="80"/>
          <w:right w:val="none" w:sz="4" w:space="0" w:color="000000"/>
        </w:tcBorders>
        <w:shd w:val="clear" w:color="FFFFFF" w:themeColor="light1" w:fill="FFFFFF" w:themeFill="light1"/>
      </w:tcPr>
    </w:tblStylePr>
    <w:tblStylePr w:type="lastRow">
      <w:rPr>
        <w:rFonts w:ascii="Arial" w:hAnsi="Arial"/>
        <w:b/>
        <w:color w:val="45B5FF" w:themeColor="accent1" w:themeTint="80" w:themeShade="95"/>
        <w:sz w:val="22"/>
      </w:rPr>
      <w:tblPr/>
      <w:tcPr>
        <w:tcBorders>
          <w:top w:val="single" w:sz="4" w:space="0" w:color="45B5FF"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5B5FF" w:themeColor="accent1" w:themeTint="80" w:themeShade="95"/>
        <w:sz w:val="22"/>
      </w:rPr>
      <w:tblPr/>
      <w:tcPr>
        <w:tcBorders>
          <w:top w:val="none" w:sz="4" w:space="0" w:color="000000"/>
          <w:left w:val="none" w:sz="4" w:space="0" w:color="000000"/>
          <w:bottom w:val="none" w:sz="4" w:space="0" w:color="000000"/>
          <w:right w:val="single" w:sz="4" w:space="0" w:color="45B5FF" w:themeColor="accent1" w:themeTint="80"/>
        </w:tcBorders>
        <w:shd w:val="clear" w:color="FFFFFF" w:fill="auto"/>
      </w:tcPr>
    </w:tblStylePr>
    <w:tblStylePr w:type="lastCol">
      <w:rPr>
        <w:rFonts w:ascii="Arial" w:hAnsi="Arial"/>
        <w:i/>
        <w:color w:val="45B5FF" w:themeColor="accent1" w:themeTint="80" w:themeShade="95"/>
        <w:sz w:val="22"/>
      </w:rPr>
      <w:tblPr/>
      <w:tcPr>
        <w:tcBorders>
          <w:top w:val="none" w:sz="4" w:space="0" w:color="000000"/>
          <w:left w:val="single" w:sz="4" w:space="0" w:color="45B5FF" w:themeColor="accent1" w:themeTint="80"/>
          <w:bottom w:val="none" w:sz="4" w:space="0" w:color="000000"/>
          <w:right w:val="none" w:sz="4" w:space="0" w:color="000000"/>
        </w:tcBorders>
        <w:shd w:val="clear" w:color="FFFFFF" w:fill="auto"/>
      </w:tcPr>
    </w:tblStylePr>
    <w:tblStylePr w:type="band1Vert">
      <w:tblPr/>
      <w:tcPr>
        <w:shd w:val="clear" w:color="B3E1FF" w:themeColor="accent1" w:themeTint="34" w:fill="B3E1FF" w:themeFill="accent1" w:themeFillTint="34"/>
      </w:tcPr>
    </w:tblStylePr>
    <w:tblStylePr w:type="band1Horz">
      <w:rPr>
        <w:rFonts w:ascii="Arial" w:hAnsi="Arial"/>
        <w:color w:val="45B5FF" w:themeColor="accent1" w:themeTint="80" w:themeShade="95"/>
        <w:sz w:val="22"/>
      </w:rPr>
      <w:tblPr/>
      <w:tcPr>
        <w:shd w:val="clear" w:color="B3E1FF" w:themeColor="accent1" w:themeTint="34" w:fill="B3E1FF" w:themeFill="accent1" w:themeFillTint="34"/>
      </w:tcPr>
    </w:tblStylePr>
    <w:tblStylePr w:type="band2Horz">
      <w:rPr>
        <w:rFonts w:ascii="Arial" w:hAnsi="Arial"/>
        <w:color w:val="45B5FF"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57CCFF" w:themeColor="accent2" w:themeTint="97"/>
        <w:right w:val="single" w:sz="4" w:space="0" w:color="57CCFF" w:themeColor="accent2" w:themeTint="97"/>
        <w:insideH w:val="single" w:sz="4" w:space="0" w:color="57CCFF" w:themeColor="accent2" w:themeTint="97"/>
        <w:insideV w:val="single" w:sz="4" w:space="0" w:color="57CCFF" w:themeColor="accent2" w:themeTint="97"/>
      </w:tblBorders>
    </w:tblPr>
    <w:tblStylePr w:type="firstRow">
      <w:rPr>
        <w:rFonts w:ascii="Arial" w:hAnsi="Arial"/>
        <w:b/>
        <w:color w:val="57CCFF" w:themeColor="accent2" w:themeTint="97" w:themeShade="95"/>
        <w:sz w:val="22"/>
      </w:rPr>
      <w:tblPr/>
      <w:tcPr>
        <w:tcBorders>
          <w:top w:val="none" w:sz="4" w:space="0" w:color="000000"/>
          <w:left w:val="none" w:sz="4" w:space="0" w:color="000000"/>
          <w:bottom w:val="single" w:sz="4" w:space="0" w:color="57CCFF" w:themeColor="accent2" w:themeTint="97"/>
          <w:right w:val="none" w:sz="4" w:space="0" w:color="000000"/>
        </w:tcBorders>
        <w:shd w:val="clear" w:color="FFFFFF" w:themeColor="light1" w:fill="FFFFFF" w:themeFill="light1"/>
      </w:tcPr>
    </w:tblStylePr>
    <w:tblStylePr w:type="lastRow">
      <w:rPr>
        <w:rFonts w:ascii="Arial" w:hAnsi="Arial"/>
        <w:b/>
        <w:color w:val="57CCFF" w:themeColor="accent2" w:themeTint="97" w:themeShade="95"/>
        <w:sz w:val="22"/>
      </w:rPr>
      <w:tblPr/>
      <w:tcPr>
        <w:tcBorders>
          <w:top w:val="single" w:sz="4" w:space="0" w:color="57CC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7CCFF" w:themeColor="accent2" w:themeTint="97" w:themeShade="95"/>
        <w:sz w:val="22"/>
      </w:rPr>
      <w:tblPr/>
      <w:tcPr>
        <w:tcBorders>
          <w:top w:val="none" w:sz="4" w:space="0" w:color="000000"/>
          <w:left w:val="none" w:sz="4" w:space="0" w:color="000000"/>
          <w:bottom w:val="none" w:sz="4" w:space="0" w:color="000000"/>
          <w:right w:val="single" w:sz="4" w:space="0" w:color="57CCFF" w:themeColor="accent2" w:themeTint="97"/>
        </w:tcBorders>
        <w:shd w:val="clear" w:color="FFFFFF" w:fill="auto"/>
      </w:tcPr>
    </w:tblStylePr>
    <w:tblStylePr w:type="lastCol">
      <w:rPr>
        <w:rFonts w:ascii="Arial" w:hAnsi="Arial"/>
        <w:i/>
        <w:color w:val="57CCFF" w:themeColor="accent2" w:themeTint="97" w:themeShade="95"/>
        <w:sz w:val="22"/>
      </w:rPr>
      <w:tblPr/>
      <w:tcPr>
        <w:tcBorders>
          <w:top w:val="none" w:sz="4" w:space="0" w:color="000000"/>
          <w:left w:val="single" w:sz="4" w:space="0" w:color="57CCFF" w:themeColor="accent2" w:themeTint="97"/>
          <w:bottom w:val="none" w:sz="4" w:space="0" w:color="000000"/>
          <w:right w:val="none" w:sz="4" w:space="0" w:color="000000"/>
        </w:tcBorders>
        <w:shd w:val="clear" w:color="FFFFFF" w:fill="auto"/>
      </w:tcPr>
    </w:tblStylePr>
    <w:tblStylePr w:type="band1Vert">
      <w:tblPr/>
      <w:tcPr>
        <w:shd w:val="clear" w:color="C7EEFF" w:themeColor="accent2" w:themeTint="32" w:fill="C7EEFF" w:themeFill="accent2" w:themeFillTint="32"/>
      </w:tcPr>
    </w:tblStylePr>
    <w:tblStylePr w:type="band1Horz">
      <w:rPr>
        <w:rFonts w:ascii="Arial" w:hAnsi="Arial"/>
        <w:color w:val="57CCFF" w:themeColor="accent2" w:themeTint="97" w:themeShade="95"/>
        <w:sz w:val="22"/>
      </w:rPr>
      <w:tblPr/>
      <w:tcPr>
        <w:shd w:val="clear" w:color="C7EEFF" w:themeColor="accent2" w:themeTint="32" w:fill="C7EEFF" w:themeFill="accent2" w:themeFillTint="32"/>
      </w:tcPr>
    </w:tblStylePr>
    <w:tblStylePr w:type="band2Horz">
      <w:rPr>
        <w:rFonts w:ascii="Arial" w:hAnsi="Arial"/>
        <w:color w:val="57CCFF"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00B1A9" w:themeColor="accent3" w:themeTint="FE"/>
        <w:right w:val="single" w:sz="4" w:space="0" w:color="00B1A9" w:themeColor="accent3" w:themeTint="FE"/>
        <w:insideH w:val="single" w:sz="4" w:space="0" w:color="00B1A9" w:themeColor="accent3" w:themeTint="FE"/>
        <w:insideV w:val="single" w:sz="4" w:space="0" w:color="00B1A9" w:themeColor="accent3" w:themeTint="FE"/>
      </w:tblBorders>
    </w:tblPr>
    <w:tblStylePr w:type="firstRow">
      <w:rPr>
        <w:rFonts w:ascii="Arial" w:hAnsi="Arial"/>
        <w:b/>
        <w:color w:val="00B1A9" w:themeColor="accent3" w:themeTint="FE" w:themeShade="95"/>
        <w:sz w:val="22"/>
      </w:rPr>
      <w:tblPr/>
      <w:tcPr>
        <w:tcBorders>
          <w:top w:val="none" w:sz="4" w:space="0" w:color="000000"/>
          <w:left w:val="none" w:sz="4" w:space="0" w:color="000000"/>
          <w:bottom w:val="single" w:sz="4" w:space="0" w:color="00B1A9" w:themeColor="accent3" w:themeTint="FE"/>
          <w:right w:val="none" w:sz="4" w:space="0" w:color="000000"/>
        </w:tcBorders>
        <w:shd w:val="clear" w:color="FFFFFF" w:themeColor="light1" w:fill="FFFFFF" w:themeFill="light1"/>
      </w:tcPr>
    </w:tblStylePr>
    <w:tblStylePr w:type="lastRow">
      <w:rPr>
        <w:rFonts w:ascii="Arial" w:hAnsi="Arial"/>
        <w:b/>
        <w:color w:val="00B1A9" w:themeColor="accent3" w:themeTint="FE" w:themeShade="95"/>
        <w:sz w:val="22"/>
      </w:rPr>
      <w:tblPr/>
      <w:tcPr>
        <w:tcBorders>
          <w:top w:val="single" w:sz="4" w:space="0" w:color="00B1A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B1A9" w:themeColor="accent3" w:themeTint="FE" w:themeShade="95"/>
        <w:sz w:val="22"/>
      </w:rPr>
      <w:tblPr/>
      <w:tcPr>
        <w:tcBorders>
          <w:top w:val="none" w:sz="4" w:space="0" w:color="000000"/>
          <w:left w:val="none" w:sz="4" w:space="0" w:color="000000"/>
          <w:bottom w:val="none" w:sz="4" w:space="0" w:color="000000"/>
          <w:right w:val="single" w:sz="4" w:space="0" w:color="00B1A9" w:themeColor="accent3" w:themeTint="FE"/>
        </w:tcBorders>
        <w:shd w:val="clear" w:color="FFFFFF" w:fill="auto"/>
      </w:tcPr>
    </w:tblStylePr>
    <w:tblStylePr w:type="lastCol">
      <w:rPr>
        <w:rFonts w:ascii="Arial" w:hAnsi="Arial"/>
        <w:i/>
        <w:color w:val="00B1A9" w:themeColor="accent3" w:themeTint="FE" w:themeShade="95"/>
        <w:sz w:val="22"/>
      </w:rPr>
      <w:tblPr/>
      <w:tcPr>
        <w:tcBorders>
          <w:top w:val="none" w:sz="4" w:space="0" w:color="000000"/>
          <w:left w:val="single" w:sz="4" w:space="0" w:color="00B1A9" w:themeColor="accent3" w:themeTint="FE"/>
          <w:bottom w:val="none" w:sz="4" w:space="0" w:color="000000"/>
          <w:right w:val="none" w:sz="4" w:space="0" w:color="000000"/>
        </w:tcBorders>
        <w:shd w:val="clear" w:color="FFFFFF" w:fill="auto"/>
      </w:tcPr>
    </w:tblStylePr>
    <w:tblStylePr w:type="band1Vert">
      <w:tblPr/>
      <w:tcPr>
        <w:shd w:val="clear" w:color="BAFFFC" w:themeColor="accent3" w:themeTint="34" w:fill="BAFFFC" w:themeFill="accent3" w:themeFillTint="34"/>
      </w:tcPr>
    </w:tblStylePr>
    <w:tblStylePr w:type="band1Horz">
      <w:rPr>
        <w:rFonts w:ascii="Arial" w:hAnsi="Arial"/>
        <w:color w:val="00B1A9" w:themeColor="accent3" w:themeTint="FE" w:themeShade="95"/>
        <w:sz w:val="22"/>
      </w:rPr>
      <w:tblPr/>
      <w:tcPr>
        <w:shd w:val="clear" w:color="BAFFFC" w:themeColor="accent3" w:themeTint="34" w:fill="BAFFFC" w:themeFill="accent3" w:themeFillTint="34"/>
      </w:tcPr>
    </w:tblStylePr>
    <w:tblStylePr w:type="band2Horz">
      <w:rPr>
        <w:rFonts w:ascii="Arial" w:hAnsi="Arial"/>
        <w:color w:val="00B1A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48EDFF" w:themeColor="accent4" w:themeTint="9A"/>
        <w:right w:val="single" w:sz="4" w:space="0" w:color="48EDFF" w:themeColor="accent4" w:themeTint="9A"/>
        <w:insideH w:val="single" w:sz="4" w:space="0" w:color="48EDFF" w:themeColor="accent4" w:themeTint="9A"/>
        <w:insideV w:val="single" w:sz="4" w:space="0" w:color="48EDFF" w:themeColor="accent4" w:themeTint="9A"/>
      </w:tblBorders>
    </w:tblPr>
    <w:tblStylePr w:type="firstRow">
      <w:rPr>
        <w:rFonts w:ascii="Arial" w:hAnsi="Arial"/>
        <w:b/>
        <w:color w:val="48EDFF" w:themeColor="accent4" w:themeTint="9A" w:themeShade="95"/>
        <w:sz w:val="22"/>
      </w:rPr>
      <w:tblPr/>
      <w:tcPr>
        <w:tcBorders>
          <w:top w:val="none" w:sz="4" w:space="0" w:color="000000"/>
          <w:left w:val="none" w:sz="4" w:space="0" w:color="000000"/>
          <w:bottom w:val="single" w:sz="4" w:space="0" w:color="48EDFF" w:themeColor="accent4" w:themeTint="9A"/>
          <w:right w:val="none" w:sz="4" w:space="0" w:color="000000"/>
        </w:tcBorders>
        <w:shd w:val="clear" w:color="FFFFFF" w:themeColor="light1" w:fill="FFFFFF" w:themeFill="light1"/>
      </w:tcPr>
    </w:tblStylePr>
    <w:tblStylePr w:type="lastRow">
      <w:rPr>
        <w:rFonts w:ascii="Arial" w:hAnsi="Arial"/>
        <w:b/>
        <w:color w:val="48EDFF" w:themeColor="accent4" w:themeTint="9A" w:themeShade="95"/>
        <w:sz w:val="22"/>
      </w:rPr>
      <w:tblPr/>
      <w:tcPr>
        <w:tcBorders>
          <w:top w:val="single" w:sz="4" w:space="0" w:color="48EDFF"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EDFF" w:themeColor="accent4" w:themeTint="9A" w:themeShade="95"/>
        <w:sz w:val="22"/>
      </w:rPr>
      <w:tblPr/>
      <w:tcPr>
        <w:tcBorders>
          <w:top w:val="none" w:sz="4" w:space="0" w:color="000000"/>
          <w:left w:val="none" w:sz="4" w:space="0" w:color="000000"/>
          <w:bottom w:val="none" w:sz="4" w:space="0" w:color="000000"/>
          <w:right w:val="single" w:sz="4" w:space="0" w:color="48EDFF" w:themeColor="accent4" w:themeTint="9A"/>
        </w:tcBorders>
        <w:shd w:val="clear" w:color="FFFFFF" w:fill="auto"/>
      </w:tcPr>
    </w:tblStylePr>
    <w:tblStylePr w:type="lastCol">
      <w:rPr>
        <w:rFonts w:ascii="Arial" w:hAnsi="Arial"/>
        <w:i/>
        <w:color w:val="48EDFF" w:themeColor="accent4" w:themeTint="9A" w:themeShade="95"/>
        <w:sz w:val="22"/>
      </w:rPr>
      <w:tblPr/>
      <w:tcPr>
        <w:tcBorders>
          <w:top w:val="none" w:sz="4" w:space="0" w:color="000000"/>
          <w:left w:val="single" w:sz="4" w:space="0" w:color="48EDFF" w:themeColor="accent4" w:themeTint="9A"/>
          <w:bottom w:val="none" w:sz="4" w:space="0" w:color="000000"/>
          <w:right w:val="none" w:sz="4" w:space="0" w:color="000000"/>
        </w:tcBorders>
        <w:shd w:val="clear" w:color="FFFFFF" w:fill="auto"/>
      </w:tcPr>
    </w:tblStylePr>
    <w:tblStylePr w:type="band1Vert">
      <w:tblPr/>
      <w:tcPr>
        <w:shd w:val="clear" w:color="C1F8FF" w:themeColor="accent4" w:themeTint="34" w:fill="C1F8FF" w:themeFill="accent4" w:themeFillTint="34"/>
      </w:tcPr>
    </w:tblStylePr>
    <w:tblStylePr w:type="band1Horz">
      <w:rPr>
        <w:rFonts w:ascii="Arial" w:hAnsi="Arial"/>
        <w:color w:val="48EDFF" w:themeColor="accent4" w:themeTint="9A" w:themeShade="95"/>
        <w:sz w:val="22"/>
      </w:rPr>
      <w:tblPr/>
      <w:tcPr>
        <w:shd w:val="clear" w:color="C1F8FF" w:themeColor="accent4" w:themeTint="34" w:fill="C1F8FF" w:themeFill="accent4" w:themeFillTint="34"/>
      </w:tcPr>
    </w:tblStylePr>
    <w:tblStylePr w:type="band2Horz">
      <w:rPr>
        <w:rFonts w:ascii="Arial" w:hAnsi="Arial"/>
        <w:color w:val="48EDFF"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9BADD" w:themeColor="accent5" w:themeTint="90"/>
        <w:right w:val="single" w:sz="4" w:space="0" w:color="A9BADD" w:themeColor="accent5" w:themeTint="90"/>
        <w:insideH w:val="single" w:sz="4" w:space="0" w:color="A9BADD" w:themeColor="accent5" w:themeTint="90"/>
        <w:insideV w:val="single" w:sz="4" w:space="0" w:color="A9BADD" w:themeColor="accent5" w:themeTint="90"/>
      </w:tblBorders>
    </w:tblPr>
    <w:tblStylePr w:type="firstRow">
      <w:rPr>
        <w:rFonts w:ascii="Arial" w:hAnsi="Arial"/>
        <w:b/>
        <w:color w:val="314B7D" w:themeColor="accent5" w:themeShade="95"/>
        <w:sz w:val="22"/>
      </w:rPr>
      <w:tblPr/>
      <w:tcPr>
        <w:tcBorders>
          <w:top w:val="none" w:sz="4" w:space="0" w:color="000000"/>
          <w:left w:val="none" w:sz="4" w:space="0" w:color="000000"/>
          <w:bottom w:val="single" w:sz="4" w:space="0" w:color="A9BADD" w:themeColor="accent5" w:themeTint="90"/>
          <w:right w:val="none" w:sz="4" w:space="0" w:color="000000"/>
        </w:tcBorders>
        <w:shd w:val="clear" w:color="FFFFFF" w:themeColor="light1" w:fill="FFFFFF" w:themeFill="light1"/>
      </w:tcPr>
    </w:tblStylePr>
    <w:tblStylePr w:type="lastRow">
      <w:rPr>
        <w:rFonts w:ascii="Arial" w:hAnsi="Arial"/>
        <w:b/>
        <w:color w:val="314B7D" w:themeColor="accent5" w:themeShade="95"/>
        <w:sz w:val="22"/>
      </w:rPr>
      <w:tblPr/>
      <w:tcPr>
        <w:tcBorders>
          <w:top w:val="single" w:sz="4" w:space="0" w:color="A9BA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14B7D" w:themeColor="accent5" w:themeShade="95"/>
        <w:sz w:val="22"/>
      </w:rPr>
      <w:tblPr/>
      <w:tcPr>
        <w:tcBorders>
          <w:top w:val="none" w:sz="4" w:space="0" w:color="000000"/>
          <w:left w:val="none" w:sz="4" w:space="0" w:color="000000"/>
          <w:bottom w:val="none" w:sz="4" w:space="0" w:color="000000"/>
          <w:right w:val="single" w:sz="4" w:space="0" w:color="A9BADD" w:themeColor="accent5" w:themeTint="90"/>
        </w:tcBorders>
        <w:shd w:val="clear" w:color="FFFFFF" w:fill="auto"/>
      </w:tcPr>
    </w:tblStylePr>
    <w:tblStylePr w:type="lastCol">
      <w:rPr>
        <w:rFonts w:ascii="Arial" w:hAnsi="Arial"/>
        <w:i/>
        <w:color w:val="314B7D" w:themeColor="accent5" w:themeShade="95"/>
        <w:sz w:val="22"/>
      </w:rPr>
      <w:tblPr/>
      <w:tcPr>
        <w:tcBorders>
          <w:top w:val="none" w:sz="4" w:space="0" w:color="000000"/>
          <w:left w:val="single" w:sz="4" w:space="0" w:color="A9BADD" w:themeColor="accent5" w:themeTint="90"/>
          <w:bottom w:val="none" w:sz="4" w:space="0" w:color="000000"/>
          <w:right w:val="none" w:sz="4" w:space="0" w:color="000000"/>
        </w:tcBorders>
        <w:shd w:val="clear" w:color="FFFFFF" w:fill="auto"/>
      </w:tcPr>
    </w:tblStylePr>
    <w:tblStylePr w:type="band1Vert">
      <w:tblPr/>
      <w:tcPr>
        <w:shd w:val="clear" w:color="DFE6F3" w:themeColor="accent5" w:themeTint="34" w:fill="DFE6F3" w:themeFill="accent5" w:themeFillTint="34"/>
      </w:tcPr>
    </w:tblStylePr>
    <w:tblStylePr w:type="band1Horz">
      <w:rPr>
        <w:rFonts w:ascii="Arial" w:hAnsi="Arial"/>
        <w:color w:val="314B7D" w:themeColor="accent5" w:themeShade="95"/>
        <w:sz w:val="22"/>
      </w:rPr>
      <w:tblPr/>
      <w:tcPr>
        <w:shd w:val="clear" w:color="DFE6F3" w:themeColor="accent5" w:themeTint="34" w:fill="DFE6F3" w:themeFill="accent5" w:themeFillTint="34"/>
      </w:tcPr>
    </w:tblStylePr>
    <w:tblStylePr w:type="band2Horz">
      <w:rPr>
        <w:rFonts w:ascii="Arial" w:hAnsi="Arial"/>
        <w:color w:val="314B7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C898C9" w:themeColor="accent6" w:themeTint="90"/>
        <w:right w:val="single" w:sz="4" w:space="0" w:color="C898C9" w:themeColor="accent6" w:themeTint="90"/>
        <w:insideH w:val="single" w:sz="4" w:space="0" w:color="C898C9" w:themeColor="accent6" w:themeTint="90"/>
        <w:insideV w:val="single" w:sz="4" w:space="0" w:color="C898C9" w:themeColor="accent6" w:themeTint="90"/>
      </w:tblBorders>
    </w:tblPr>
    <w:tblStylePr w:type="firstRow">
      <w:rPr>
        <w:rFonts w:ascii="Arial" w:hAnsi="Arial"/>
        <w:b/>
        <w:color w:val="592E59" w:themeColor="accent6" w:themeShade="95"/>
        <w:sz w:val="22"/>
      </w:rPr>
      <w:tblPr/>
      <w:tcPr>
        <w:tcBorders>
          <w:top w:val="none" w:sz="4" w:space="0" w:color="000000"/>
          <w:left w:val="none" w:sz="4" w:space="0" w:color="000000"/>
          <w:bottom w:val="single" w:sz="4" w:space="0" w:color="C898C9" w:themeColor="accent6" w:themeTint="90"/>
          <w:right w:val="none" w:sz="4" w:space="0" w:color="000000"/>
        </w:tcBorders>
        <w:shd w:val="clear" w:color="FFFFFF" w:themeColor="light1" w:fill="FFFFFF" w:themeFill="light1"/>
      </w:tcPr>
    </w:tblStylePr>
    <w:tblStylePr w:type="lastRow">
      <w:rPr>
        <w:rFonts w:ascii="Arial" w:hAnsi="Arial"/>
        <w:b/>
        <w:color w:val="592E59" w:themeColor="accent6" w:themeShade="95"/>
        <w:sz w:val="22"/>
      </w:rPr>
      <w:tblPr/>
      <w:tcPr>
        <w:tcBorders>
          <w:top w:val="single" w:sz="4" w:space="0" w:color="C898C9"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92E59" w:themeColor="accent6" w:themeShade="95"/>
        <w:sz w:val="22"/>
      </w:rPr>
      <w:tblPr/>
      <w:tcPr>
        <w:tcBorders>
          <w:top w:val="none" w:sz="4" w:space="0" w:color="000000"/>
          <w:left w:val="none" w:sz="4" w:space="0" w:color="000000"/>
          <w:bottom w:val="none" w:sz="4" w:space="0" w:color="000000"/>
          <w:right w:val="single" w:sz="4" w:space="0" w:color="C898C9" w:themeColor="accent6" w:themeTint="90"/>
        </w:tcBorders>
        <w:shd w:val="clear" w:color="FFFFFF" w:fill="auto"/>
      </w:tcPr>
    </w:tblStylePr>
    <w:tblStylePr w:type="lastCol">
      <w:rPr>
        <w:rFonts w:ascii="Arial" w:hAnsi="Arial"/>
        <w:i/>
        <w:color w:val="592E59" w:themeColor="accent6" w:themeShade="95"/>
        <w:sz w:val="22"/>
      </w:rPr>
      <w:tblPr/>
      <w:tcPr>
        <w:tcBorders>
          <w:top w:val="none" w:sz="4" w:space="0" w:color="000000"/>
          <w:left w:val="single" w:sz="4" w:space="0" w:color="C898C9" w:themeColor="accent6" w:themeTint="90"/>
          <w:bottom w:val="none" w:sz="4" w:space="0" w:color="000000"/>
          <w:right w:val="none" w:sz="4" w:space="0" w:color="000000"/>
        </w:tcBorders>
        <w:shd w:val="clear" w:color="FFFFFF" w:fill="auto"/>
      </w:tcPr>
    </w:tblStylePr>
    <w:tblStylePr w:type="band1Vert">
      <w:tblPr/>
      <w:tcPr>
        <w:shd w:val="clear" w:color="EBD9EB" w:themeColor="accent6" w:themeTint="34" w:fill="EBD9EB" w:themeFill="accent6" w:themeFillTint="34"/>
      </w:tcPr>
    </w:tblStylePr>
    <w:tblStylePr w:type="band1Horz">
      <w:rPr>
        <w:rFonts w:ascii="Arial" w:hAnsi="Arial"/>
        <w:color w:val="592E59" w:themeColor="accent6" w:themeShade="95"/>
        <w:sz w:val="22"/>
      </w:rPr>
      <w:tblPr/>
      <w:tcPr>
        <w:shd w:val="clear" w:color="EBD9EB" w:themeColor="accent6" w:themeTint="34" w:fill="EBD9EB" w:themeFill="accent6" w:themeFillTint="34"/>
      </w:tcPr>
    </w:tblStylePr>
    <w:tblStylePr w:type="band2Horz">
      <w:rPr>
        <w:rFonts w:ascii="Arial" w:hAnsi="Arial"/>
        <w:color w:val="592E5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558C" w:themeColor="accent1"/>
          <w:right w:val="none" w:sz="4" w:space="0" w:color="000000"/>
        </w:tcBorders>
      </w:tcPr>
    </w:tblStylePr>
    <w:tblStylePr w:type="lastRow">
      <w:rPr>
        <w:b/>
        <w:color w:val="404040"/>
      </w:rPr>
      <w:tblPr/>
      <w:tcPr>
        <w:tcBorders>
          <w:top w:val="single" w:sz="4" w:space="0" w:color="00558C"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2DAFF" w:themeColor="accent1" w:themeTint="40" w:fill="A2DAFF" w:themeFill="accent1" w:themeFillTint="40"/>
      </w:tcPr>
    </w:tblStylePr>
    <w:tblStylePr w:type="band1Horz">
      <w:tblPr/>
      <w:tcPr>
        <w:shd w:val="clear" w:color="A2DAFF" w:themeColor="accent1" w:themeTint="40" w:fill="A2DAFF"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9FE3" w:themeColor="accent2"/>
          <w:right w:val="none" w:sz="4" w:space="0" w:color="000000"/>
        </w:tcBorders>
      </w:tcPr>
    </w:tblStylePr>
    <w:tblStylePr w:type="lastRow">
      <w:rPr>
        <w:b/>
        <w:color w:val="404040"/>
      </w:rPr>
      <w:tblPr/>
      <w:tcPr>
        <w:tcBorders>
          <w:top w:val="single" w:sz="4" w:space="0" w:color="009FE3"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7E9FF" w:themeColor="accent2" w:themeTint="40" w:fill="B7E9FF" w:themeFill="accent2" w:themeFillTint="40"/>
      </w:tcPr>
    </w:tblStylePr>
    <w:tblStylePr w:type="band1Horz">
      <w:tblPr/>
      <w:tcPr>
        <w:shd w:val="clear" w:color="B7E9FF" w:themeColor="accent2" w:themeTint="40" w:fill="B7E9FF"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0A9" w:themeColor="accent3"/>
          <w:right w:val="none" w:sz="4" w:space="0" w:color="000000"/>
        </w:tcBorders>
      </w:tcPr>
    </w:tblStylePr>
    <w:tblStylePr w:type="lastRow">
      <w:rPr>
        <w:b/>
        <w:color w:val="404040"/>
      </w:rPr>
      <w:tblPr/>
      <w:tcPr>
        <w:tcBorders>
          <w:top w:val="single" w:sz="4" w:space="0" w:color="00B0A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BFFFB" w:themeColor="accent3" w:themeTint="40" w:fill="ABFFFB" w:themeFill="accent3" w:themeFillTint="40"/>
      </w:tcPr>
    </w:tblStylePr>
    <w:tblStylePr w:type="band1Horz">
      <w:tblPr/>
      <w:tcPr>
        <w:shd w:val="clear" w:color="ABFFFB" w:themeColor="accent3" w:themeTint="40" w:fill="ABFFFB"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CD0" w:themeColor="accent4"/>
          <w:right w:val="none" w:sz="4" w:space="0" w:color="000000"/>
        </w:tcBorders>
      </w:tcPr>
    </w:tblStylePr>
    <w:tblStylePr w:type="lastRow">
      <w:rPr>
        <w:b/>
        <w:color w:val="404040"/>
      </w:rPr>
      <w:tblPr/>
      <w:tcPr>
        <w:tcBorders>
          <w:top w:val="single" w:sz="4" w:space="0" w:color="00BCD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3F7FF" w:themeColor="accent4" w:themeTint="40" w:fill="B3F7FF" w:themeFill="accent4" w:themeFillTint="40"/>
      </w:tcPr>
    </w:tblStylePr>
    <w:tblStylePr w:type="band1Horz">
      <w:tblPr/>
      <w:tcPr>
        <w:shd w:val="clear" w:color="B3F7FF" w:themeColor="accent4" w:themeTint="40" w:fill="B3F7F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6787C4" w:themeColor="accent5"/>
          <w:right w:val="none" w:sz="4" w:space="0" w:color="000000"/>
        </w:tcBorders>
      </w:tcPr>
    </w:tblStylePr>
    <w:tblStylePr w:type="lastRow">
      <w:rPr>
        <w:b/>
        <w:color w:val="404040"/>
      </w:rPr>
      <w:tblPr/>
      <w:tcPr>
        <w:tcBorders>
          <w:top w:val="single" w:sz="4" w:space="0" w:color="6787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8E0F0" w:themeColor="accent5" w:themeTint="40" w:fill="D8E0F0" w:themeFill="accent5" w:themeFillTint="40"/>
      </w:tcPr>
    </w:tblStylePr>
    <w:tblStylePr w:type="band1Horz">
      <w:tblPr/>
      <w:tcPr>
        <w:shd w:val="clear" w:color="D8E0F0" w:themeColor="accent5" w:themeTint="40" w:fill="D8E0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9509A" w:themeColor="accent6"/>
          <w:right w:val="none" w:sz="4" w:space="0" w:color="000000"/>
        </w:tcBorders>
      </w:tcPr>
    </w:tblStylePr>
    <w:tblStylePr w:type="lastRow">
      <w:rPr>
        <w:b/>
        <w:color w:val="404040"/>
      </w:rPr>
      <w:tblPr/>
      <w:tcPr>
        <w:tcBorders>
          <w:top w:val="single" w:sz="4" w:space="0" w:color="99509A"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6D1E7" w:themeColor="accent6" w:themeTint="40" w:fill="E6D1E7" w:themeFill="accent6" w:themeFillTint="40"/>
      </w:tcPr>
    </w:tblStylePr>
    <w:tblStylePr w:type="band1Horz">
      <w:tblPr/>
      <w:tcPr>
        <w:shd w:val="clear" w:color="E6D1E7" w:themeColor="accent6" w:themeTint="40" w:fill="E6D1E7"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2EACFF" w:themeColor="accent1" w:themeTint="90"/>
        <w:bottom w:val="single" w:sz="4" w:space="0" w:color="2EACFF" w:themeColor="accent1" w:themeTint="90"/>
        <w:insideH w:val="single" w:sz="4" w:space="0" w:color="2EACFF" w:themeColor="accent1" w:themeTint="90"/>
      </w:tblBorders>
    </w:tblPr>
    <w:tblStylePr w:type="firstRow">
      <w:rPr>
        <w:rFonts w:ascii="Arial" w:hAnsi="Arial"/>
        <w:b/>
        <w:color w:val="404040"/>
        <w:sz w:val="22"/>
      </w:rPr>
      <w:tblPr/>
      <w:tcPr>
        <w:tcBorders>
          <w:top w:val="single" w:sz="4" w:space="0" w:color="2EACFF" w:themeColor="accent1" w:themeTint="90"/>
          <w:left w:val="none" w:sz="4" w:space="0" w:color="000000"/>
          <w:bottom w:val="single" w:sz="4" w:space="0" w:color="2EACFF" w:themeColor="accent1" w:themeTint="90"/>
          <w:right w:val="none" w:sz="4" w:space="0" w:color="000000"/>
        </w:tcBorders>
      </w:tcPr>
    </w:tblStylePr>
    <w:tblStylePr w:type="lastRow">
      <w:rPr>
        <w:rFonts w:ascii="Arial" w:hAnsi="Arial"/>
        <w:b/>
        <w:color w:val="404040"/>
        <w:sz w:val="22"/>
      </w:rPr>
      <w:tblPr/>
      <w:tcPr>
        <w:tcBorders>
          <w:top w:val="single" w:sz="4" w:space="0" w:color="2EACFF" w:themeColor="accent1" w:themeTint="90"/>
          <w:left w:val="none" w:sz="4" w:space="0" w:color="000000"/>
          <w:bottom w:val="single" w:sz="4" w:space="0" w:color="2EAC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2DAFF" w:themeColor="accent1" w:themeTint="40" w:fill="A2DAFF" w:themeFill="accent1" w:themeFillTint="40"/>
      </w:tcPr>
    </w:tblStylePr>
    <w:tblStylePr w:type="band1Horz">
      <w:rPr>
        <w:rFonts w:ascii="Arial" w:hAnsi="Arial"/>
        <w:color w:val="404040"/>
        <w:sz w:val="22"/>
      </w:rPr>
      <w:tblPr/>
      <w:tcPr>
        <w:shd w:val="clear" w:color="A2DAFF" w:themeColor="accent1" w:themeTint="40" w:fill="A2DAFF"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5FCEFF" w:themeColor="accent2" w:themeTint="90"/>
        <w:bottom w:val="single" w:sz="4" w:space="0" w:color="5FCEFF" w:themeColor="accent2" w:themeTint="90"/>
        <w:insideH w:val="single" w:sz="4" w:space="0" w:color="5FCEFF" w:themeColor="accent2" w:themeTint="90"/>
      </w:tblBorders>
    </w:tblPr>
    <w:tblStylePr w:type="firstRow">
      <w:rPr>
        <w:rFonts w:ascii="Arial" w:hAnsi="Arial"/>
        <w:b/>
        <w:color w:val="404040"/>
        <w:sz w:val="22"/>
      </w:rPr>
      <w:tblPr/>
      <w:tcPr>
        <w:tcBorders>
          <w:top w:val="single" w:sz="4" w:space="0" w:color="5FCEFF" w:themeColor="accent2" w:themeTint="90"/>
          <w:left w:val="none" w:sz="4" w:space="0" w:color="000000"/>
          <w:bottom w:val="single" w:sz="4" w:space="0" w:color="5FCEFF" w:themeColor="accent2" w:themeTint="90"/>
          <w:right w:val="none" w:sz="4" w:space="0" w:color="000000"/>
        </w:tcBorders>
      </w:tcPr>
    </w:tblStylePr>
    <w:tblStylePr w:type="lastRow">
      <w:rPr>
        <w:rFonts w:ascii="Arial" w:hAnsi="Arial"/>
        <w:b/>
        <w:color w:val="404040"/>
        <w:sz w:val="22"/>
      </w:rPr>
      <w:tblPr/>
      <w:tcPr>
        <w:tcBorders>
          <w:top w:val="single" w:sz="4" w:space="0" w:color="5FCEFF" w:themeColor="accent2" w:themeTint="90"/>
          <w:left w:val="none" w:sz="4" w:space="0" w:color="000000"/>
          <w:bottom w:val="single" w:sz="4" w:space="0" w:color="5FCEFF"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7E9FF" w:themeColor="accent2" w:themeTint="40" w:fill="B7E9FF" w:themeFill="accent2" w:themeFillTint="40"/>
      </w:tcPr>
    </w:tblStylePr>
    <w:tblStylePr w:type="band1Horz">
      <w:rPr>
        <w:rFonts w:ascii="Arial" w:hAnsi="Arial"/>
        <w:color w:val="404040"/>
        <w:sz w:val="22"/>
      </w:rPr>
      <w:tblPr/>
      <w:tcPr>
        <w:shd w:val="clear" w:color="B7E9FF" w:themeColor="accent2" w:themeTint="40" w:fill="B7E9FF"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42FFF6" w:themeColor="accent3" w:themeTint="90"/>
        <w:bottom w:val="single" w:sz="4" w:space="0" w:color="42FFF6" w:themeColor="accent3" w:themeTint="90"/>
        <w:insideH w:val="single" w:sz="4" w:space="0" w:color="42FFF6" w:themeColor="accent3" w:themeTint="90"/>
      </w:tblBorders>
    </w:tblPr>
    <w:tblStylePr w:type="firstRow">
      <w:rPr>
        <w:rFonts w:ascii="Arial" w:hAnsi="Arial"/>
        <w:b/>
        <w:color w:val="404040"/>
        <w:sz w:val="22"/>
      </w:rPr>
      <w:tblPr/>
      <w:tcPr>
        <w:tcBorders>
          <w:top w:val="single" w:sz="4" w:space="0" w:color="42FFF6" w:themeColor="accent3" w:themeTint="90"/>
          <w:left w:val="none" w:sz="4" w:space="0" w:color="000000"/>
          <w:bottom w:val="single" w:sz="4" w:space="0" w:color="42FFF6" w:themeColor="accent3" w:themeTint="90"/>
          <w:right w:val="none" w:sz="4" w:space="0" w:color="000000"/>
        </w:tcBorders>
      </w:tcPr>
    </w:tblStylePr>
    <w:tblStylePr w:type="lastRow">
      <w:rPr>
        <w:rFonts w:ascii="Arial" w:hAnsi="Arial"/>
        <w:b/>
        <w:color w:val="404040"/>
        <w:sz w:val="22"/>
      </w:rPr>
      <w:tblPr/>
      <w:tcPr>
        <w:tcBorders>
          <w:top w:val="single" w:sz="4" w:space="0" w:color="42FFF6" w:themeColor="accent3" w:themeTint="90"/>
          <w:left w:val="none" w:sz="4" w:space="0" w:color="000000"/>
          <w:bottom w:val="single" w:sz="4" w:space="0" w:color="42FFF6"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BFFFB" w:themeColor="accent3" w:themeTint="40" w:fill="ABFFFB" w:themeFill="accent3" w:themeFillTint="40"/>
      </w:tcPr>
    </w:tblStylePr>
    <w:tblStylePr w:type="band1Horz">
      <w:rPr>
        <w:rFonts w:ascii="Arial" w:hAnsi="Arial"/>
        <w:color w:val="404040"/>
        <w:sz w:val="22"/>
      </w:rPr>
      <w:tblPr/>
      <w:tcPr>
        <w:shd w:val="clear" w:color="ABFFFB" w:themeColor="accent3" w:themeTint="40" w:fill="ABFFFB"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54EEFF" w:themeColor="accent4" w:themeTint="90"/>
        <w:bottom w:val="single" w:sz="4" w:space="0" w:color="54EEFF" w:themeColor="accent4" w:themeTint="90"/>
        <w:insideH w:val="single" w:sz="4" w:space="0" w:color="54EEFF" w:themeColor="accent4" w:themeTint="90"/>
      </w:tblBorders>
    </w:tblPr>
    <w:tblStylePr w:type="firstRow">
      <w:rPr>
        <w:rFonts w:ascii="Arial" w:hAnsi="Arial"/>
        <w:b/>
        <w:color w:val="404040"/>
        <w:sz w:val="22"/>
      </w:rPr>
      <w:tblPr/>
      <w:tcPr>
        <w:tcBorders>
          <w:top w:val="single" w:sz="4" w:space="0" w:color="54EEFF" w:themeColor="accent4" w:themeTint="90"/>
          <w:left w:val="none" w:sz="4" w:space="0" w:color="000000"/>
          <w:bottom w:val="single" w:sz="4" w:space="0" w:color="54EEFF" w:themeColor="accent4" w:themeTint="90"/>
          <w:right w:val="none" w:sz="4" w:space="0" w:color="000000"/>
        </w:tcBorders>
      </w:tcPr>
    </w:tblStylePr>
    <w:tblStylePr w:type="lastRow">
      <w:rPr>
        <w:rFonts w:ascii="Arial" w:hAnsi="Arial"/>
        <w:b/>
        <w:color w:val="404040"/>
        <w:sz w:val="22"/>
      </w:rPr>
      <w:tblPr/>
      <w:tcPr>
        <w:tcBorders>
          <w:top w:val="single" w:sz="4" w:space="0" w:color="54EEFF" w:themeColor="accent4" w:themeTint="90"/>
          <w:left w:val="none" w:sz="4" w:space="0" w:color="000000"/>
          <w:bottom w:val="single" w:sz="4" w:space="0" w:color="54EE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3F7FF" w:themeColor="accent4" w:themeTint="40" w:fill="B3F7FF" w:themeFill="accent4" w:themeFillTint="40"/>
      </w:tcPr>
    </w:tblStylePr>
    <w:tblStylePr w:type="band1Horz">
      <w:rPr>
        <w:rFonts w:ascii="Arial" w:hAnsi="Arial"/>
        <w:color w:val="404040"/>
        <w:sz w:val="22"/>
      </w:rPr>
      <w:tblPr/>
      <w:tcPr>
        <w:shd w:val="clear" w:color="B3F7FF" w:themeColor="accent4" w:themeTint="40" w:fill="B3F7F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9BADD" w:themeColor="accent5" w:themeTint="90"/>
        <w:bottom w:val="single" w:sz="4" w:space="0" w:color="A9BADD" w:themeColor="accent5" w:themeTint="90"/>
        <w:insideH w:val="single" w:sz="4" w:space="0" w:color="A9BADD" w:themeColor="accent5" w:themeTint="90"/>
      </w:tblBorders>
    </w:tblPr>
    <w:tblStylePr w:type="firstRow">
      <w:rPr>
        <w:rFonts w:ascii="Arial" w:hAnsi="Arial"/>
        <w:b/>
        <w:color w:val="404040"/>
        <w:sz w:val="22"/>
      </w:rPr>
      <w:tblPr/>
      <w:tcPr>
        <w:tcBorders>
          <w:top w:val="single" w:sz="4" w:space="0" w:color="A9BADD" w:themeColor="accent5" w:themeTint="90"/>
          <w:left w:val="none" w:sz="4" w:space="0" w:color="000000"/>
          <w:bottom w:val="single" w:sz="4" w:space="0" w:color="A9BADD" w:themeColor="accent5" w:themeTint="90"/>
          <w:right w:val="none" w:sz="4" w:space="0" w:color="000000"/>
        </w:tcBorders>
      </w:tcPr>
    </w:tblStylePr>
    <w:tblStylePr w:type="lastRow">
      <w:rPr>
        <w:rFonts w:ascii="Arial" w:hAnsi="Arial"/>
        <w:b/>
        <w:color w:val="404040"/>
        <w:sz w:val="22"/>
      </w:rPr>
      <w:tblPr/>
      <w:tcPr>
        <w:tcBorders>
          <w:top w:val="single" w:sz="4" w:space="0" w:color="A9BADD" w:themeColor="accent5" w:themeTint="90"/>
          <w:left w:val="none" w:sz="4" w:space="0" w:color="000000"/>
          <w:bottom w:val="single" w:sz="4" w:space="0" w:color="A9BA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8E0F0" w:themeColor="accent5" w:themeTint="40" w:fill="D8E0F0" w:themeFill="accent5" w:themeFillTint="40"/>
      </w:tcPr>
    </w:tblStylePr>
    <w:tblStylePr w:type="band1Horz">
      <w:rPr>
        <w:rFonts w:ascii="Arial" w:hAnsi="Arial"/>
        <w:color w:val="404040"/>
        <w:sz w:val="22"/>
      </w:rPr>
      <w:tblPr/>
      <w:tcPr>
        <w:shd w:val="clear" w:color="D8E0F0" w:themeColor="accent5" w:themeTint="40" w:fill="D8E0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C898C9" w:themeColor="accent6" w:themeTint="90"/>
        <w:bottom w:val="single" w:sz="4" w:space="0" w:color="C898C9" w:themeColor="accent6" w:themeTint="90"/>
        <w:insideH w:val="single" w:sz="4" w:space="0" w:color="C898C9" w:themeColor="accent6" w:themeTint="90"/>
      </w:tblBorders>
    </w:tblPr>
    <w:tblStylePr w:type="firstRow">
      <w:rPr>
        <w:rFonts w:ascii="Arial" w:hAnsi="Arial"/>
        <w:b/>
        <w:color w:val="404040"/>
        <w:sz w:val="22"/>
      </w:rPr>
      <w:tblPr/>
      <w:tcPr>
        <w:tcBorders>
          <w:top w:val="single" w:sz="4" w:space="0" w:color="C898C9" w:themeColor="accent6" w:themeTint="90"/>
          <w:left w:val="none" w:sz="4" w:space="0" w:color="000000"/>
          <w:bottom w:val="single" w:sz="4" w:space="0" w:color="C898C9" w:themeColor="accent6" w:themeTint="90"/>
          <w:right w:val="none" w:sz="4" w:space="0" w:color="000000"/>
        </w:tcBorders>
      </w:tcPr>
    </w:tblStylePr>
    <w:tblStylePr w:type="lastRow">
      <w:rPr>
        <w:rFonts w:ascii="Arial" w:hAnsi="Arial"/>
        <w:b/>
        <w:color w:val="404040"/>
        <w:sz w:val="22"/>
      </w:rPr>
      <w:tblPr/>
      <w:tcPr>
        <w:tcBorders>
          <w:top w:val="single" w:sz="4" w:space="0" w:color="C898C9" w:themeColor="accent6" w:themeTint="90"/>
          <w:left w:val="none" w:sz="4" w:space="0" w:color="000000"/>
          <w:bottom w:val="single" w:sz="4" w:space="0" w:color="C898C9"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6D1E7" w:themeColor="accent6" w:themeTint="40" w:fill="E6D1E7" w:themeFill="accent6" w:themeFillTint="40"/>
      </w:tcPr>
    </w:tblStylePr>
    <w:tblStylePr w:type="band1Horz">
      <w:rPr>
        <w:rFonts w:ascii="Arial" w:hAnsi="Arial"/>
        <w:color w:val="404040"/>
        <w:sz w:val="22"/>
      </w:rPr>
      <w:tblPr/>
      <w:tcPr>
        <w:shd w:val="clear" w:color="E6D1E7" w:themeColor="accent6" w:themeTint="40" w:fill="E6D1E7"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00558C" w:themeColor="accent1"/>
        <w:left w:val="single" w:sz="4" w:space="0" w:color="00558C" w:themeColor="accent1"/>
        <w:bottom w:val="single" w:sz="4" w:space="0" w:color="00558C" w:themeColor="accent1"/>
        <w:right w:val="single" w:sz="4" w:space="0" w:color="00558C" w:themeColor="accent1"/>
      </w:tblBorders>
    </w:tblPr>
    <w:tblStylePr w:type="firstRow">
      <w:rPr>
        <w:rFonts w:ascii="Arial" w:hAnsi="Arial"/>
        <w:b/>
        <w:color w:val="FFFFFF"/>
        <w:sz w:val="22"/>
      </w:rPr>
      <w:tblPr/>
      <w:tcPr>
        <w:shd w:val="clear" w:color="00558C" w:themeColor="accent1" w:fill="00558C"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558C" w:themeColor="accent1"/>
          <w:right w:val="single" w:sz="4" w:space="0" w:color="00558C" w:themeColor="accent1"/>
        </w:tcBorders>
      </w:tcPr>
    </w:tblStylePr>
    <w:tblStylePr w:type="band1Horz">
      <w:rPr>
        <w:rFonts w:ascii="Arial" w:hAnsi="Arial"/>
        <w:color w:val="404040"/>
        <w:sz w:val="22"/>
      </w:rPr>
      <w:tblPr/>
      <w:tcPr>
        <w:tcBorders>
          <w:top w:val="single" w:sz="4" w:space="0" w:color="00558C" w:themeColor="accent1"/>
          <w:bottom w:val="single" w:sz="4" w:space="0" w:color="00558C"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57CCFF" w:themeColor="accent2" w:themeTint="97"/>
        <w:left w:val="single" w:sz="4" w:space="0" w:color="57CCFF" w:themeColor="accent2" w:themeTint="97"/>
        <w:bottom w:val="single" w:sz="4" w:space="0" w:color="57CCFF" w:themeColor="accent2" w:themeTint="97"/>
        <w:right w:val="single" w:sz="4" w:space="0" w:color="57CCFF" w:themeColor="accent2" w:themeTint="97"/>
      </w:tblBorders>
    </w:tblPr>
    <w:tblStylePr w:type="firstRow">
      <w:rPr>
        <w:rFonts w:ascii="Arial" w:hAnsi="Arial"/>
        <w:b/>
        <w:color w:val="FFFFFF"/>
        <w:sz w:val="22"/>
      </w:rPr>
      <w:tblPr/>
      <w:tcPr>
        <w:shd w:val="clear" w:color="57CCFF" w:themeColor="accent2" w:themeTint="97" w:fill="57CCFF"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7CCFF" w:themeColor="accent2" w:themeTint="97"/>
          <w:right w:val="single" w:sz="4" w:space="0" w:color="57CCFF" w:themeColor="accent2" w:themeTint="97"/>
        </w:tcBorders>
      </w:tcPr>
    </w:tblStylePr>
    <w:tblStylePr w:type="band1Horz">
      <w:rPr>
        <w:rFonts w:ascii="Arial" w:hAnsi="Arial"/>
        <w:color w:val="404040"/>
        <w:sz w:val="22"/>
      </w:rPr>
      <w:tblPr/>
      <w:tcPr>
        <w:tcBorders>
          <w:top w:val="single" w:sz="4" w:space="0" w:color="57CCFF" w:themeColor="accent2" w:themeTint="97"/>
          <w:bottom w:val="single" w:sz="4" w:space="0" w:color="57CCFF"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37FFF6" w:themeColor="accent3" w:themeTint="98"/>
        <w:left w:val="single" w:sz="4" w:space="0" w:color="37FFF6" w:themeColor="accent3" w:themeTint="98"/>
        <w:bottom w:val="single" w:sz="4" w:space="0" w:color="37FFF6" w:themeColor="accent3" w:themeTint="98"/>
        <w:right w:val="single" w:sz="4" w:space="0" w:color="37FFF6" w:themeColor="accent3" w:themeTint="98"/>
      </w:tblBorders>
    </w:tblPr>
    <w:tblStylePr w:type="firstRow">
      <w:rPr>
        <w:rFonts w:ascii="Arial" w:hAnsi="Arial"/>
        <w:b/>
        <w:color w:val="FFFFFF"/>
        <w:sz w:val="22"/>
      </w:rPr>
      <w:tblPr/>
      <w:tcPr>
        <w:shd w:val="clear" w:color="37FFF6" w:themeColor="accent3" w:themeTint="98" w:fill="37FFF6"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7FFF6" w:themeColor="accent3" w:themeTint="98"/>
          <w:right w:val="single" w:sz="4" w:space="0" w:color="37FFF6" w:themeColor="accent3" w:themeTint="98"/>
        </w:tcBorders>
      </w:tcPr>
    </w:tblStylePr>
    <w:tblStylePr w:type="band1Horz">
      <w:rPr>
        <w:rFonts w:ascii="Arial" w:hAnsi="Arial"/>
        <w:color w:val="404040"/>
        <w:sz w:val="22"/>
      </w:rPr>
      <w:tblPr/>
      <w:tcPr>
        <w:tcBorders>
          <w:top w:val="single" w:sz="4" w:space="0" w:color="37FFF6" w:themeColor="accent3" w:themeTint="98"/>
          <w:bottom w:val="single" w:sz="4" w:space="0" w:color="37FFF6"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48EDFF" w:themeColor="accent4" w:themeTint="9A"/>
        <w:left w:val="single" w:sz="4" w:space="0" w:color="48EDFF" w:themeColor="accent4" w:themeTint="9A"/>
        <w:bottom w:val="single" w:sz="4" w:space="0" w:color="48EDFF" w:themeColor="accent4" w:themeTint="9A"/>
        <w:right w:val="single" w:sz="4" w:space="0" w:color="48EDFF" w:themeColor="accent4" w:themeTint="9A"/>
      </w:tblBorders>
    </w:tblPr>
    <w:tblStylePr w:type="firstRow">
      <w:rPr>
        <w:rFonts w:ascii="Arial" w:hAnsi="Arial"/>
        <w:b/>
        <w:color w:val="FFFFFF"/>
        <w:sz w:val="22"/>
      </w:rPr>
      <w:tblPr/>
      <w:tcPr>
        <w:shd w:val="clear" w:color="48EDFF" w:themeColor="accent4" w:themeTint="9A" w:fill="48ED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EDFF" w:themeColor="accent4" w:themeTint="9A"/>
          <w:right w:val="single" w:sz="4" w:space="0" w:color="48EDFF" w:themeColor="accent4" w:themeTint="9A"/>
        </w:tcBorders>
      </w:tcPr>
    </w:tblStylePr>
    <w:tblStylePr w:type="band1Horz">
      <w:rPr>
        <w:rFonts w:ascii="Arial" w:hAnsi="Arial"/>
        <w:color w:val="404040"/>
        <w:sz w:val="22"/>
      </w:rPr>
      <w:tblPr/>
      <w:tcPr>
        <w:tcBorders>
          <w:top w:val="single" w:sz="4" w:space="0" w:color="48EDFF" w:themeColor="accent4" w:themeTint="9A"/>
          <w:bottom w:val="single" w:sz="4" w:space="0" w:color="48EDFF"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A3B6DB" w:themeColor="accent5" w:themeTint="9A"/>
        <w:left w:val="single" w:sz="4" w:space="0" w:color="A3B6DB" w:themeColor="accent5" w:themeTint="9A"/>
        <w:bottom w:val="single" w:sz="4" w:space="0" w:color="A3B6DB" w:themeColor="accent5" w:themeTint="9A"/>
        <w:right w:val="single" w:sz="4" w:space="0" w:color="A3B6DB" w:themeColor="accent5" w:themeTint="9A"/>
      </w:tblBorders>
    </w:tblPr>
    <w:tblStylePr w:type="firstRow">
      <w:rPr>
        <w:rFonts w:ascii="Arial" w:hAnsi="Arial"/>
        <w:b/>
        <w:color w:val="FFFFFF"/>
        <w:sz w:val="22"/>
      </w:rPr>
      <w:tblPr/>
      <w:tcPr>
        <w:shd w:val="clear" w:color="A3B6DB" w:themeColor="accent5" w:themeTint="9A" w:fill="A3B6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3B6DB" w:themeColor="accent5" w:themeTint="9A"/>
          <w:right w:val="single" w:sz="4" w:space="0" w:color="A3B6DB" w:themeColor="accent5" w:themeTint="9A"/>
        </w:tcBorders>
      </w:tcPr>
    </w:tblStylePr>
    <w:tblStylePr w:type="band1Horz">
      <w:rPr>
        <w:rFonts w:ascii="Arial" w:hAnsi="Arial"/>
        <w:color w:val="404040"/>
        <w:sz w:val="22"/>
      </w:rPr>
      <w:tblPr/>
      <w:tcPr>
        <w:tcBorders>
          <w:top w:val="single" w:sz="4" w:space="0" w:color="A3B6DB" w:themeColor="accent5" w:themeTint="9A"/>
          <w:bottom w:val="single" w:sz="4" w:space="0" w:color="A3B6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C592C6" w:themeColor="accent6" w:themeTint="98"/>
        <w:left w:val="single" w:sz="4" w:space="0" w:color="C592C6" w:themeColor="accent6" w:themeTint="98"/>
        <w:bottom w:val="single" w:sz="4" w:space="0" w:color="C592C6" w:themeColor="accent6" w:themeTint="98"/>
        <w:right w:val="single" w:sz="4" w:space="0" w:color="C592C6" w:themeColor="accent6" w:themeTint="98"/>
      </w:tblBorders>
    </w:tblPr>
    <w:tblStylePr w:type="firstRow">
      <w:rPr>
        <w:rFonts w:ascii="Arial" w:hAnsi="Arial"/>
        <w:b/>
        <w:color w:val="FFFFFF"/>
        <w:sz w:val="22"/>
      </w:rPr>
      <w:tblPr/>
      <w:tcPr>
        <w:shd w:val="clear" w:color="C592C6" w:themeColor="accent6" w:themeTint="98" w:fill="C592C6"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592C6" w:themeColor="accent6" w:themeTint="98"/>
          <w:right w:val="single" w:sz="4" w:space="0" w:color="C592C6" w:themeColor="accent6" w:themeTint="98"/>
        </w:tcBorders>
      </w:tcPr>
    </w:tblStylePr>
    <w:tblStylePr w:type="band1Horz">
      <w:rPr>
        <w:rFonts w:ascii="Arial" w:hAnsi="Arial"/>
        <w:color w:val="404040"/>
        <w:sz w:val="22"/>
      </w:rPr>
      <w:tblPr/>
      <w:tcPr>
        <w:tcBorders>
          <w:top w:val="single" w:sz="4" w:space="0" w:color="C592C6" w:themeColor="accent6" w:themeTint="98"/>
          <w:bottom w:val="single" w:sz="4" w:space="0" w:color="C592C6"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2EACFF" w:themeColor="accent1" w:themeTint="90"/>
        <w:left w:val="single" w:sz="4" w:space="0" w:color="2EACFF" w:themeColor="accent1" w:themeTint="90"/>
        <w:bottom w:val="single" w:sz="4" w:space="0" w:color="2EACFF" w:themeColor="accent1" w:themeTint="90"/>
        <w:right w:val="single" w:sz="4" w:space="0" w:color="2EACFF" w:themeColor="accent1" w:themeTint="90"/>
        <w:insideH w:val="single" w:sz="4" w:space="0" w:color="2EACFF" w:themeColor="accent1" w:themeTint="90"/>
      </w:tblBorders>
    </w:tblPr>
    <w:tblStylePr w:type="firstRow">
      <w:rPr>
        <w:rFonts w:ascii="Arial" w:hAnsi="Arial"/>
        <w:b/>
        <w:color w:val="FFFFFF"/>
        <w:sz w:val="22"/>
      </w:rPr>
      <w:tblPr/>
      <w:tcPr>
        <w:shd w:val="clear" w:color="00558C" w:themeColor="accent1" w:fill="00558C"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2DAFF" w:themeColor="accent1" w:themeTint="40" w:fill="A2DAFF" w:themeFill="accent1" w:themeFillTint="40"/>
      </w:tcPr>
    </w:tblStylePr>
    <w:tblStylePr w:type="band1Horz">
      <w:rPr>
        <w:rFonts w:ascii="Arial" w:hAnsi="Arial"/>
        <w:color w:val="404040"/>
        <w:sz w:val="22"/>
      </w:rPr>
      <w:tblPr/>
      <w:tcPr>
        <w:shd w:val="clear" w:color="A2DAFF" w:themeColor="accent1" w:themeTint="40" w:fill="A2DAFF"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5FCEFF" w:themeColor="accent2" w:themeTint="90"/>
        <w:left w:val="single" w:sz="4" w:space="0" w:color="5FCEFF" w:themeColor="accent2" w:themeTint="90"/>
        <w:bottom w:val="single" w:sz="4" w:space="0" w:color="5FCEFF" w:themeColor="accent2" w:themeTint="90"/>
        <w:right w:val="single" w:sz="4" w:space="0" w:color="5FCEFF" w:themeColor="accent2" w:themeTint="90"/>
        <w:insideH w:val="single" w:sz="4" w:space="0" w:color="5FCEFF" w:themeColor="accent2" w:themeTint="90"/>
      </w:tblBorders>
    </w:tblPr>
    <w:tblStylePr w:type="firstRow">
      <w:rPr>
        <w:rFonts w:ascii="Arial" w:hAnsi="Arial"/>
        <w:b/>
        <w:color w:val="FFFFFF"/>
        <w:sz w:val="22"/>
      </w:rPr>
      <w:tblPr/>
      <w:tcPr>
        <w:shd w:val="clear" w:color="009FE3" w:themeColor="accent2" w:fill="009FE3"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7E9FF" w:themeColor="accent2" w:themeTint="40" w:fill="B7E9FF" w:themeFill="accent2" w:themeFillTint="40"/>
      </w:tcPr>
    </w:tblStylePr>
    <w:tblStylePr w:type="band1Horz">
      <w:rPr>
        <w:rFonts w:ascii="Arial" w:hAnsi="Arial"/>
        <w:color w:val="404040"/>
        <w:sz w:val="22"/>
      </w:rPr>
      <w:tblPr/>
      <w:tcPr>
        <w:shd w:val="clear" w:color="B7E9FF" w:themeColor="accent2" w:themeTint="40" w:fill="B7E9FF"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42FFF6" w:themeColor="accent3" w:themeTint="90"/>
        <w:left w:val="single" w:sz="4" w:space="0" w:color="42FFF6" w:themeColor="accent3" w:themeTint="90"/>
        <w:bottom w:val="single" w:sz="4" w:space="0" w:color="42FFF6" w:themeColor="accent3" w:themeTint="90"/>
        <w:right w:val="single" w:sz="4" w:space="0" w:color="42FFF6" w:themeColor="accent3" w:themeTint="90"/>
        <w:insideH w:val="single" w:sz="4" w:space="0" w:color="42FFF6" w:themeColor="accent3" w:themeTint="90"/>
      </w:tblBorders>
    </w:tblPr>
    <w:tblStylePr w:type="firstRow">
      <w:rPr>
        <w:rFonts w:ascii="Arial" w:hAnsi="Arial"/>
        <w:b/>
        <w:color w:val="FFFFFF"/>
        <w:sz w:val="22"/>
      </w:rPr>
      <w:tblPr/>
      <w:tcPr>
        <w:shd w:val="clear" w:color="00B0A9" w:themeColor="accent3" w:fill="00B0A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BFFFB" w:themeColor="accent3" w:themeTint="40" w:fill="ABFFFB" w:themeFill="accent3" w:themeFillTint="40"/>
      </w:tcPr>
    </w:tblStylePr>
    <w:tblStylePr w:type="band1Horz">
      <w:rPr>
        <w:rFonts w:ascii="Arial" w:hAnsi="Arial"/>
        <w:color w:val="404040"/>
        <w:sz w:val="22"/>
      </w:rPr>
      <w:tblPr/>
      <w:tcPr>
        <w:shd w:val="clear" w:color="ABFFFB" w:themeColor="accent3" w:themeTint="40" w:fill="ABFFFB"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54EEFF" w:themeColor="accent4" w:themeTint="90"/>
        <w:left w:val="single" w:sz="4" w:space="0" w:color="54EEFF" w:themeColor="accent4" w:themeTint="90"/>
        <w:bottom w:val="single" w:sz="4" w:space="0" w:color="54EEFF" w:themeColor="accent4" w:themeTint="90"/>
        <w:right w:val="single" w:sz="4" w:space="0" w:color="54EEFF" w:themeColor="accent4" w:themeTint="90"/>
        <w:insideH w:val="single" w:sz="4" w:space="0" w:color="54EEFF" w:themeColor="accent4" w:themeTint="90"/>
      </w:tblBorders>
    </w:tblPr>
    <w:tblStylePr w:type="firstRow">
      <w:rPr>
        <w:rFonts w:ascii="Arial" w:hAnsi="Arial"/>
        <w:b/>
        <w:color w:val="FFFFFF"/>
        <w:sz w:val="22"/>
      </w:rPr>
      <w:tblPr/>
      <w:tcPr>
        <w:shd w:val="clear" w:color="00BCD0" w:themeColor="accent4" w:fill="00BCD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3F7FF" w:themeColor="accent4" w:themeTint="40" w:fill="B3F7FF" w:themeFill="accent4" w:themeFillTint="40"/>
      </w:tcPr>
    </w:tblStylePr>
    <w:tblStylePr w:type="band1Horz">
      <w:rPr>
        <w:rFonts w:ascii="Arial" w:hAnsi="Arial"/>
        <w:color w:val="404040"/>
        <w:sz w:val="22"/>
      </w:rPr>
      <w:tblPr/>
      <w:tcPr>
        <w:shd w:val="clear" w:color="B3F7FF" w:themeColor="accent4" w:themeTint="40" w:fill="B3F7F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9BADD" w:themeColor="accent5" w:themeTint="90"/>
        <w:left w:val="single" w:sz="4" w:space="0" w:color="A9BADD" w:themeColor="accent5" w:themeTint="90"/>
        <w:bottom w:val="single" w:sz="4" w:space="0" w:color="A9BADD" w:themeColor="accent5" w:themeTint="90"/>
        <w:right w:val="single" w:sz="4" w:space="0" w:color="A9BADD" w:themeColor="accent5" w:themeTint="90"/>
        <w:insideH w:val="single" w:sz="4" w:space="0" w:color="A9BADD" w:themeColor="accent5" w:themeTint="90"/>
      </w:tblBorders>
    </w:tblPr>
    <w:tblStylePr w:type="firstRow">
      <w:rPr>
        <w:rFonts w:ascii="Arial" w:hAnsi="Arial"/>
        <w:b/>
        <w:color w:val="FFFFFF"/>
        <w:sz w:val="22"/>
      </w:rPr>
      <w:tblPr/>
      <w:tcPr>
        <w:shd w:val="clear" w:color="6787C4" w:themeColor="accent5" w:fill="6787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0F0" w:themeColor="accent5" w:themeTint="40" w:fill="D8E0F0" w:themeFill="accent5" w:themeFillTint="40"/>
      </w:tcPr>
    </w:tblStylePr>
    <w:tblStylePr w:type="band1Horz">
      <w:rPr>
        <w:rFonts w:ascii="Arial" w:hAnsi="Arial"/>
        <w:color w:val="404040"/>
        <w:sz w:val="22"/>
      </w:rPr>
      <w:tblPr/>
      <w:tcPr>
        <w:shd w:val="clear" w:color="D8E0F0" w:themeColor="accent5" w:themeTint="40" w:fill="D8E0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C898C9" w:themeColor="accent6" w:themeTint="90"/>
        <w:left w:val="single" w:sz="4" w:space="0" w:color="C898C9" w:themeColor="accent6" w:themeTint="90"/>
        <w:bottom w:val="single" w:sz="4" w:space="0" w:color="C898C9" w:themeColor="accent6" w:themeTint="90"/>
        <w:right w:val="single" w:sz="4" w:space="0" w:color="C898C9" w:themeColor="accent6" w:themeTint="90"/>
        <w:insideH w:val="single" w:sz="4" w:space="0" w:color="C898C9" w:themeColor="accent6" w:themeTint="90"/>
      </w:tblBorders>
    </w:tblPr>
    <w:tblStylePr w:type="firstRow">
      <w:rPr>
        <w:rFonts w:ascii="Arial" w:hAnsi="Arial"/>
        <w:b/>
        <w:color w:val="FFFFFF"/>
        <w:sz w:val="22"/>
      </w:rPr>
      <w:tblPr/>
      <w:tcPr>
        <w:shd w:val="clear" w:color="99509A" w:themeColor="accent6" w:fill="99509A"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6D1E7" w:themeColor="accent6" w:themeTint="40" w:fill="E6D1E7" w:themeFill="accent6" w:themeFillTint="40"/>
      </w:tcPr>
    </w:tblStylePr>
    <w:tblStylePr w:type="band1Horz">
      <w:rPr>
        <w:rFonts w:ascii="Arial" w:hAnsi="Arial"/>
        <w:color w:val="404040"/>
        <w:sz w:val="22"/>
      </w:rPr>
      <w:tblPr/>
      <w:tcPr>
        <w:shd w:val="clear" w:color="E6D1E7" w:themeColor="accent6" w:themeTint="40" w:fill="E6D1E7"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00558C" w:themeColor="accent1"/>
        <w:left w:val="single" w:sz="32" w:space="0" w:color="00558C" w:themeColor="accent1"/>
        <w:bottom w:val="single" w:sz="32" w:space="0" w:color="00558C" w:themeColor="accent1"/>
        <w:right w:val="single" w:sz="32" w:space="0" w:color="00558C" w:themeColor="accent1"/>
      </w:tblBorders>
      <w:shd w:val="clear" w:color="00558C" w:themeColor="accent1" w:fill="00558C" w:themeFill="accent1"/>
    </w:tblPr>
    <w:tblStylePr w:type="firstRow">
      <w:rPr>
        <w:rFonts w:ascii="Arial" w:hAnsi="Arial"/>
        <w:b/>
        <w:color w:val="FFFFFF" w:themeColor="light1"/>
        <w:sz w:val="22"/>
      </w:rPr>
      <w:tblPr/>
      <w:tcPr>
        <w:tcBorders>
          <w:top w:val="single" w:sz="32" w:space="0" w:color="00558C" w:themeColor="accent1"/>
          <w:bottom w:val="single" w:sz="12" w:space="0" w:color="FFFFFF" w:themeColor="light1"/>
        </w:tcBorders>
        <w:shd w:val="clear" w:color="00558C" w:themeColor="accent1" w:fill="00558C"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558C" w:themeColor="accent1"/>
          <w:right w:val="single" w:sz="4" w:space="0" w:color="FFFFFF" w:themeColor="light1"/>
        </w:tcBorders>
      </w:tcPr>
    </w:tblStylePr>
    <w:tblStylePr w:type="lastCol">
      <w:tblPr/>
      <w:tcPr>
        <w:tcBorders>
          <w:left w:val="single" w:sz="4" w:space="0" w:color="FFFFFF" w:themeColor="light1"/>
          <w:right w:val="single" w:sz="32" w:space="0" w:color="00558C" w:themeColor="accent1"/>
        </w:tcBorders>
      </w:tcPr>
    </w:tblStylePr>
    <w:tblStylePr w:type="band1Vert">
      <w:tblPr/>
      <w:tcPr>
        <w:tcBorders>
          <w:left w:val="single" w:sz="4" w:space="0" w:color="FFFFFF" w:themeColor="light1"/>
          <w:right w:val="single" w:sz="4" w:space="0" w:color="FFFFFF" w:themeColor="light1"/>
        </w:tcBorders>
        <w:shd w:val="clear" w:color="00558C" w:themeColor="accent1" w:fill="00558C"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558C" w:themeColor="accent1" w:fill="00558C" w:themeFill="accent1"/>
      </w:tcPr>
    </w:tblStylePr>
    <w:tblStylePr w:type="band2Horz">
      <w:tblPr/>
      <w:tcPr>
        <w:tcBorders>
          <w:top w:val="single" w:sz="4" w:space="0" w:color="FFFFFF" w:themeColor="light1"/>
          <w:bottom w:val="single" w:sz="4" w:space="0" w:color="FFFFFF" w:themeColor="light1"/>
        </w:tcBorders>
        <w:shd w:val="clear" w:color="00558C" w:themeColor="accent1" w:fill="00558C"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57CCFF" w:themeColor="accent2" w:themeTint="97"/>
        <w:left w:val="single" w:sz="32" w:space="0" w:color="57CCFF" w:themeColor="accent2" w:themeTint="97"/>
        <w:bottom w:val="single" w:sz="32" w:space="0" w:color="57CCFF" w:themeColor="accent2" w:themeTint="97"/>
        <w:right w:val="single" w:sz="32" w:space="0" w:color="57CCFF" w:themeColor="accent2" w:themeTint="97"/>
      </w:tblBorders>
      <w:shd w:val="clear" w:color="57CCFF" w:themeColor="accent2" w:themeTint="97" w:fill="57CCFF" w:themeFill="accent2" w:themeFillTint="97"/>
    </w:tblPr>
    <w:tblStylePr w:type="firstRow">
      <w:rPr>
        <w:rFonts w:ascii="Arial" w:hAnsi="Arial"/>
        <w:b/>
        <w:color w:val="FFFFFF" w:themeColor="light1"/>
        <w:sz w:val="22"/>
      </w:rPr>
      <w:tblPr/>
      <w:tcPr>
        <w:tcBorders>
          <w:top w:val="single" w:sz="32" w:space="0" w:color="57CCFF" w:themeColor="accent2" w:themeTint="97"/>
          <w:bottom w:val="single" w:sz="12" w:space="0" w:color="FFFFFF" w:themeColor="light1"/>
        </w:tcBorders>
        <w:shd w:val="clear" w:color="57CCFF" w:themeColor="accent2" w:themeTint="97" w:fill="57CCFF"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7CCFF" w:themeColor="accent2" w:themeTint="97"/>
          <w:right w:val="single" w:sz="4" w:space="0" w:color="FFFFFF" w:themeColor="light1"/>
        </w:tcBorders>
      </w:tcPr>
    </w:tblStylePr>
    <w:tblStylePr w:type="lastCol">
      <w:tblPr/>
      <w:tcPr>
        <w:tcBorders>
          <w:left w:val="single" w:sz="4" w:space="0" w:color="FFFFFF" w:themeColor="light1"/>
          <w:right w:val="single" w:sz="32" w:space="0" w:color="57CCFF" w:themeColor="accent2" w:themeTint="97"/>
        </w:tcBorders>
      </w:tcPr>
    </w:tblStylePr>
    <w:tblStylePr w:type="band1Vert">
      <w:tblPr/>
      <w:tcPr>
        <w:tcBorders>
          <w:left w:val="single" w:sz="4" w:space="0" w:color="FFFFFF" w:themeColor="light1"/>
          <w:right w:val="single" w:sz="4" w:space="0" w:color="FFFFFF" w:themeColor="light1"/>
        </w:tcBorders>
        <w:shd w:val="clear" w:color="57CCFF" w:themeColor="accent2" w:themeTint="97" w:fill="57CCFF"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7CCFF" w:themeColor="accent2" w:themeTint="97" w:fill="57CCFF" w:themeFill="accent2" w:themeFillTint="97"/>
      </w:tcPr>
    </w:tblStylePr>
    <w:tblStylePr w:type="band2Horz">
      <w:tblPr/>
      <w:tcPr>
        <w:tcBorders>
          <w:top w:val="single" w:sz="4" w:space="0" w:color="FFFFFF" w:themeColor="light1"/>
          <w:bottom w:val="single" w:sz="4" w:space="0" w:color="FFFFFF" w:themeColor="light1"/>
        </w:tcBorders>
        <w:shd w:val="clear" w:color="57CCFF" w:themeColor="accent2" w:themeTint="97" w:fill="57CCFF"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37FFF6" w:themeColor="accent3" w:themeTint="98"/>
        <w:left w:val="single" w:sz="32" w:space="0" w:color="37FFF6" w:themeColor="accent3" w:themeTint="98"/>
        <w:bottom w:val="single" w:sz="32" w:space="0" w:color="37FFF6" w:themeColor="accent3" w:themeTint="98"/>
        <w:right w:val="single" w:sz="32" w:space="0" w:color="37FFF6" w:themeColor="accent3" w:themeTint="98"/>
      </w:tblBorders>
      <w:shd w:val="clear" w:color="37FFF6" w:themeColor="accent3" w:themeTint="98" w:fill="37FFF6" w:themeFill="accent3" w:themeFillTint="98"/>
    </w:tblPr>
    <w:tblStylePr w:type="firstRow">
      <w:rPr>
        <w:rFonts w:ascii="Arial" w:hAnsi="Arial"/>
        <w:b/>
        <w:color w:val="FFFFFF" w:themeColor="light1"/>
        <w:sz w:val="22"/>
      </w:rPr>
      <w:tblPr/>
      <w:tcPr>
        <w:tcBorders>
          <w:top w:val="single" w:sz="32" w:space="0" w:color="37FFF6" w:themeColor="accent3" w:themeTint="98"/>
          <w:bottom w:val="single" w:sz="12" w:space="0" w:color="FFFFFF" w:themeColor="light1"/>
        </w:tcBorders>
        <w:shd w:val="clear" w:color="37FFF6" w:themeColor="accent3" w:themeTint="98" w:fill="37FFF6"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7FFF6" w:themeColor="accent3" w:themeTint="98"/>
          <w:right w:val="single" w:sz="4" w:space="0" w:color="FFFFFF" w:themeColor="light1"/>
        </w:tcBorders>
      </w:tcPr>
    </w:tblStylePr>
    <w:tblStylePr w:type="lastCol">
      <w:tblPr/>
      <w:tcPr>
        <w:tcBorders>
          <w:left w:val="single" w:sz="4" w:space="0" w:color="FFFFFF" w:themeColor="light1"/>
          <w:right w:val="single" w:sz="32" w:space="0" w:color="37FFF6" w:themeColor="accent3" w:themeTint="98"/>
        </w:tcBorders>
      </w:tcPr>
    </w:tblStylePr>
    <w:tblStylePr w:type="band1Vert">
      <w:tblPr/>
      <w:tcPr>
        <w:tcBorders>
          <w:left w:val="single" w:sz="4" w:space="0" w:color="FFFFFF" w:themeColor="light1"/>
          <w:right w:val="single" w:sz="4" w:space="0" w:color="FFFFFF" w:themeColor="light1"/>
        </w:tcBorders>
        <w:shd w:val="clear" w:color="37FFF6" w:themeColor="accent3" w:themeTint="98" w:fill="37FFF6"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7FFF6" w:themeColor="accent3" w:themeTint="98" w:fill="37FFF6" w:themeFill="accent3" w:themeFillTint="98"/>
      </w:tcPr>
    </w:tblStylePr>
    <w:tblStylePr w:type="band2Horz">
      <w:tblPr/>
      <w:tcPr>
        <w:tcBorders>
          <w:top w:val="single" w:sz="4" w:space="0" w:color="FFFFFF" w:themeColor="light1"/>
          <w:bottom w:val="single" w:sz="4" w:space="0" w:color="FFFFFF" w:themeColor="light1"/>
        </w:tcBorders>
        <w:shd w:val="clear" w:color="37FFF6" w:themeColor="accent3" w:themeTint="98" w:fill="37FFF6"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48EDFF" w:themeColor="accent4" w:themeTint="9A"/>
        <w:left w:val="single" w:sz="32" w:space="0" w:color="48EDFF" w:themeColor="accent4" w:themeTint="9A"/>
        <w:bottom w:val="single" w:sz="32" w:space="0" w:color="48EDFF" w:themeColor="accent4" w:themeTint="9A"/>
        <w:right w:val="single" w:sz="32" w:space="0" w:color="48EDFF" w:themeColor="accent4" w:themeTint="9A"/>
      </w:tblBorders>
      <w:shd w:val="clear" w:color="48EDFF" w:themeColor="accent4" w:themeTint="9A" w:fill="48EDFF" w:themeFill="accent4" w:themeFillTint="9A"/>
    </w:tblPr>
    <w:tblStylePr w:type="firstRow">
      <w:rPr>
        <w:rFonts w:ascii="Arial" w:hAnsi="Arial"/>
        <w:b/>
        <w:color w:val="FFFFFF" w:themeColor="light1"/>
        <w:sz w:val="22"/>
      </w:rPr>
      <w:tblPr/>
      <w:tcPr>
        <w:tcBorders>
          <w:top w:val="single" w:sz="32" w:space="0" w:color="48EDFF" w:themeColor="accent4" w:themeTint="9A"/>
          <w:bottom w:val="single" w:sz="12" w:space="0" w:color="FFFFFF" w:themeColor="light1"/>
        </w:tcBorders>
        <w:shd w:val="clear" w:color="48EDFF" w:themeColor="accent4" w:themeTint="9A" w:fill="48ED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EDFF" w:themeColor="accent4" w:themeTint="9A"/>
          <w:right w:val="single" w:sz="4" w:space="0" w:color="FFFFFF" w:themeColor="light1"/>
        </w:tcBorders>
      </w:tcPr>
    </w:tblStylePr>
    <w:tblStylePr w:type="lastCol">
      <w:tblPr/>
      <w:tcPr>
        <w:tcBorders>
          <w:left w:val="single" w:sz="4" w:space="0" w:color="FFFFFF" w:themeColor="light1"/>
          <w:right w:val="single" w:sz="32" w:space="0" w:color="48EDFF" w:themeColor="accent4" w:themeTint="9A"/>
        </w:tcBorders>
      </w:tcPr>
    </w:tblStylePr>
    <w:tblStylePr w:type="band1Vert">
      <w:tblPr/>
      <w:tcPr>
        <w:tcBorders>
          <w:left w:val="single" w:sz="4" w:space="0" w:color="FFFFFF" w:themeColor="light1"/>
          <w:right w:val="single" w:sz="4" w:space="0" w:color="FFFFFF" w:themeColor="light1"/>
        </w:tcBorders>
        <w:shd w:val="clear" w:color="48EDFF" w:themeColor="accent4" w:themeTint="9A" w:fill="48ED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EDFF" w:themeColor="accent4" w:themeTint="9A" w:fill="48EDFF" w:themeFill="accent4" w:themeFillTint="9A"/>
      </w:tcPr>
    </w:tblStylePr>
    <w:tblStylePr w:type="band2Horz">
      <w:tblPr/>
      <w:tcPr>
        <w:tcBorders>
          <w:top w:val="single" w:sz="4" w:space="0" w:color="FFFFFF" w:themeColor="light1"/>
          <w:bottom w:val="single" w:sz="4" w:space="0" w:color="FFFFFF" w:themeColor="light1"/>
        </w:tcBorders>
        <w:shd w:val="clear" w:color="48EDFF" w:themeColor="accent4" w:themeTint="9A" w:fill="48EDFF"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A3B6DB" w:themeColor="accent5" w:themeTint="9A"/>
        <w:left w:val="single" w:sz="32" w:space="0" w:color="A3B6DB" w:themeColor="accent5" w:themeTint="9A"/>
        <w:bottom w:val="single" w:sz="32" w:space="0" w:color="A3B6DB" w:themeColor="accent5" w:themeTint="9A"/>
        <w:right w:val="single" w:sz="32" w:space="0" w:color="A3B6DB" w:themeColor="accent5" w:themeTint="9A"/>
      </w:tblBorders>
      <w:shd w:val="clear" w:color="A3B6DB" w:themeColor="accent5" w:themeTint="9A" w:fill="A3B6DB" w:themeFill="accent5" w:themeFillTint="9A"/>
    </w:tblPr>
    <w:tblStylePr w:type="firstRow">
      <w:rPr>
        <w:rFonts w:ascii="Arial" w:hAnsi="Arial"/>
        <w:b/>
        <w:color w:val="FFFFFF" w:themeColor="light1"/>
        <w:sz w:val="22"/>
      </w:rPr>
      <w:tblPr/>
      <w:tcPr>
        <w:tcBorders>
          <w:top w:val="single" w:sz="32" w:space="0" w:color="A3B6DB" w:themeColor="accent5" w:themeTint="9A"/>
          <w:bottom w:val="single" w:sz="12" w:space="0" w:color="FFFFFF" w:themeColor="light1"/>
        </w:tcBorders>
        <w:shd w:val="clear" w:color="A3B6DB" w:themeColor="accent5" w:themeTint="9A" w:fill="A3B6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3B6DB" w:themeColor="accent5" w:themeTint="9A"/>
          <w:right w:val="single" w:sz="4" w:space="0" w:color="FFFFFF" w:themeColor="light1"/>
        </w:tcBorders>
      </w:tcPr>
    </w:tblStylePr>
    <w:tblStylePr w:type="lastCol">
      <w:tblPr/>
      <w:tcPr>
        <w:tcBorders>
          <w:left w:val="single" w:sz="4" w:space="0" w:color="FFFFFF" w:themeColor="light1"/>
          <w:right w:val="single" w:sz="32" w:space="0" w:color="A3B6DB" w:themeColor="accent5" w:themeTint="9A"/>
        </w:tcBorders>
      </w:tcPr>
    </w:tblStylePr>
    <w:tblStylePr w:type="band1Vert">
      <w:tblPr/>
      <w:tcPr>
        <w:tcBorders>
          <w:left w:val="single" w:sz="4" w:space="0" w:color="FFFFFF" w:themeColor="light1"/>
          <w:right w:val="single" w:sz="4" w:space="0" w:color="FFFFFF" w:themeColor="light1"/>
        </w:tcBorders>
        <w:shd w:val="clear" w:color="A3B6DB" w:themeColor="accent5" w:themeTint="9A" w:fill="A3B6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3B6DB" w:themeColor="accent5" w:themeTint="9A" w:fill="A3B6DB" w:themeFill="accent5" w:themeFillTint="9A"/>
      </w:tcPr>
    </w:tblStylePr>
    <w:tblStylePr w:type="band2Horz">
      <w:tblPr/>
      <w:tcPr>
        <w:tcBorders>
          <w:top w:val="single" w:sz="4" w:space="0" w:color="FFFFFF" w:themeColor="light1"/>
          <w:bottom w:val="single" w:sz="4" w:space="0" w:color="FFFFFF" w:themeColor="light1"/>
        </w:tcBorders>
        <w:shd w:val="clear" w:color="A3B6DB" w:themeColor="accent5" w:themeTint="9A" w:fill="A3B6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C592C6" w:themeColor="accent6" w:themeTint="98"/>
        <w:left w:val="single" w:sz="32" w:space="0" w:color="C592C6" w:themeColor="accent6" w:themeTint="98"/>
        <w:bottom w:val="single" w:sz="32" w:space="0" w:color="C592C6" w:themeColor="accent6" w:themeTint="98"/>
        <w:right w:val="single" w:sz="32" w:space="0" w:color="C592C6" w:themeColor="accent6" w:themeTint="98"/>
      </w:tblBorders>
      <w:shd w:val="clear" w:color="C592C6" w:themeColor="accent6" w:themeTint="98" w:fill="C592C6" w:themeFill="accent6" w:themeFillTint="98"/>
    </w:tblPr>
    <w:tblStylePr w:type="firstRow">
      <w:rPr>
        <w:rFonts w:ascii="Arial" w:hAnsi="Arial"/>
        <w:b/>
        <w:color w:val="FFFFFF" w:themeColor="light1"/>
        <w:sz w:val="22"/>
      </w:rPr>
      <w:tblPr/>
      <w:tcPr>
        <w:tcBorders>
          <w:top w:val="single" w:sz="32" w:space="0" w:color="C592C6" w:themeColor="accent6" w:themeTint="98"/>
          <w:bottom w:val="single" w:sz="12" w:space="0" w:color="FFFFFF" w:themeColor="light1"/>
        </w:tcBorders>
        <w:shd w:val="clear" w:color="C592C6" w:themeColor="accent6" w:themeTint="98" w:fill="C592C6"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592C6" w:themeColor="accent6" w:themeTint="98"/>
          <w:right w:val="single" w:sz="4" w:space="0" w:color="FFFFFF" w:themeColor="light1"/>
        </w:tcBorders>
      </w:tcPr>
    </w:tblStylePr>
    <w:tblStylePr w:type="lastCol">
      <w:tblPr/>
      <w:tcPr>
        <w:tcBorders>
          <w:left w:val="single" w:sz="4" w:space="0" w:color="FFFFFF" w:themeColor="light1"/>
          <w:right w:val="single" w:sz="32" w:space="0" w:color="C592C6" w:themeColor="accent6" w:themeTint="98"/>
        </w:tcBorders>
      </w:tcPr>
    </w:tblStylePr>
    <w:tblStylePr w:type="band1Vert">
      <w:tblPr/>
      <w:tcPr>
        <w:tcBorders>
          <w:left w:val="single" w:sz="4" w:space="0" w:color="FFFFFF" w:themeColor="light1"/>
          <w:right w:val="single" w:sz="4" w:space="0" w:color="FFFFFF" w:themeColor="light1"/>
        </w:tcBorders>
        <w:shd w:val="clear" w:color="C592C6" w:themeColor="accent6" w:themeTint="98" w:fill="C592C6"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592C6" w:themeColor="accent6" w:themeTint="98" w:fill="C592C6" w:themeFill="accent6" w:themeFillTint="98"/>
      </w:tcPr>
    </w:tblStylePr>
    <w:tblStylePr w:type="band2Horz">
      <w:tblPr/>
      <w:tcPr>
        <w:tcBorders>
          <w:top w:val="single" w:sz="4" w:space="0" w:color="FFFFFF" w:themeColor="light1"/>
          <w:bottom w:val="single" w:sz="4" w:space="0" w:color="FFFFFF" w:themeColor="light1"/>
        </w:tcBorders>
        <w:shd w:val="clear" w:color="C592C6" w:themeColor="accent6" w:themeTint="98" w:fill="C592C6"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00558C" w:themeColor="accent1"/>
        <w:bottom w:val="single" w:sz="4" w:space="0" w:color="00558C" w:themeColor="accent1"/>
      </w:tblBorders>
    </w:tblPr>
    <w:tblStylePr w:type="firstRow">
      <w:rPr>
        <w:b/>
        <w:color w:val="003151" w:themeColor="accent1" w:themeShade="95"/>
      </w:rPr>
      <w:tblPr/>
      <w:tcPr>
        <w:tcBorders>
          <w:bottom w:val="single" w:sz="4" w:space="0" w:color="00558C" w:themeColor="accent1"/>
        </w:tcBorders>
      </w:tcPr>
    </w:tblStylePr>
    <w:tblStylePr w:type="lastRow">
      <w:rPr>
        <w:b/>
        <w:color w:val="003151" w:themeColor="accent1" w:themeShade="95"/>
      </w:rPr>
      <w:tblPr/>
      <w:tcPr>
        <w:tcBorders>
          <w:top w:val="single" w:sz="4" w:space="0" w:color="00558C" w:themeColor="accent1"/>
        </w:tcBorders>
      </w:tcPr>
    </w:tblStylePr>
    <w:tblStylePr w:type="firstCol">
      <w:rPr>
        <w:b/>
        <w:color w:val="003151" w:themeColor="accent1" w:themeShade="95"/>
      </w:rPr>
    </w:tblStylePr>
    <w:tblStylePr w:type="lastCol">
      <w:rPr>
        <w:b/>
        <w:color w:val="003151" w:themeColor="accent1" w:themeShade="95"/>
      </w:rPr>
    </w:tblStylePr>
    <w:tblStylePr w:type="band1Vert">
      <w:tblPr/>
      <w:tcPr>
        <w:shd w:val="clear" w:color="A2DAFF" w:themeColor="accent1" w:themeTint="40" w:fill="A2DAFF" w:themeFill="accent1" w:themeFillTint="40"/>
      </w:tcPr>
    </w:tblStylePr>
    <w:tblStylePr w:type="band1Horz">
      <w:rPr>
        <w:rFonts w:ascii="Arial" w:hAnsi="Arial"/>
        <w:color w:val="003151" w:themeColor="accent1" w:themeShade="95"/>
        <w:sz w:val="22"/>
      </w:rPr>
      <w:tblPr/>
      <w:tcPr>
        <w:shd w:val="clear" w:color="A2DAFF" w:themeColor="accent1" w:themeTint="40" w:fill="A2DAFF" w:themeFill="accent1" w:themeFillTint="40"/>
      </w:tcPr>
    </w:tblStylePr>
    <w:tblStylePr w:type="band2Horz">
      <w:rPr>
        <w:rFonts w:ascii="Arial" w:hAnsi="Arial"/>
        <w:color w:val="00315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57CCFF" w:themeColor="accent2" w:themeTint="97"/>
        <w:bottom w:val="single" w:sz="4" w:space="0" w:color="57CCFF" w:themeColor="accent2" w:themeTint="97"/>
      </w:tblBorders>
    </w:tblPr>
    <w:tblStylePr w:type="firstRow">
      <w:rPr>
        <w:b/>
        <w:color w:val="57CCFF" w:themeColor="accent2" w:themeTint="97" w:themeShade="95"/>
      </w:rPr>
      <w:tblPr/>
      <w:tcPr>
        <w:tcBorders>
          <w:bottom w:val="single" w:sz="4" w:space="0" w:color="57CCFF" w:themeColor="accent2" w:themeTint="97"/>
        </w:tcBorders>
      </w:tcPr>
    </w:tblStylePr>
    <w:tblStylePr w:type="lastRow">
      <w:rPr>
        <w:b/>
        <w:color w:val="57CCFF" w:themeColor="accent2" w:themeTint="97" w:themeShade="95"/>
      </w:rPr>
      <w:tblPr/>
      <w:tcPr>
        <w:tcBorders>
          <w:top w:val="single" w:sz="4" w:space="0" w:color="57CCFF" w:themeColor="accent2" w:themeTint="97"/>
        </w:tcBorders>
      </w:tcPr>
    </w:tblStylePr>
    <w:tblStylePr w:type="firstCol">
      <w:rPr>
        <w:b/>
        <w:color w:val="57CCFF" w:themeColor="accent2" w:themeTint="97" w:themeShade="95"/>
      </w:rPr>
    </w:tblStylePr>
    <w:tblStylePr w:type="lastCol">
      <w:rPr>
        <w:b/>
        <w:color w:val="57CCFF" w:themeColor="accent2" w:themeTint="97" w:themeShade="95"/>
      </w:rPr>
    </w:tblStylePr>
    <w:tblStylePr w:type="band1Vert">
      <w:tblPr/>
      <w:tcPr>
        <w:shd w:val="clear" w:color="B7E9FF" w:themeColor="accent2" w:themeTint="40" w:fill="B7E9FF" w:themeFill="accent2" w:themeFillTint="40"/>
      </w:tcPr>
    </w:tblStylePr>
    <w:tblStylePr w:type="band1Horz">
      <w:rPr>
        <w:rFonts w:ascii="Arial" w:hAnsi="Arial"/>
        <w:color w:val="57CCFF" w:themeColor="accent2" w:themeTint="97" w:themeShade="95"/>
        <w:sz w:val="22"/>
      </w:rPr>
      <w:tblPr/>
      <w:tcPr>
        <w:shd w:val="clear" w:color="B7E9FF" w:themeColor="accent2" w:themeTint="40" w:fill="B7E9FF" w:themeFill="accent2" w:themeFillTint="40"/>
      </w:tcPr>
    </w:tblStylePr>
    <w:tblStylePr w:type="band2Horz">
      <w:rPr>
        <w:rFonts w:ascii="Arial" w:hAnsi="Arial"/>
        <w:color w:val="57CCFF"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37FFF6" w:themeColor="accent3" w:themeTint="98"/>
        <w:bottom w:val="single" w:sz="4" w:space="0" w:color="37FFF6" w:themeColor="accent3" w:themeTint="98"/>
      </w:tblBorders>
    </w:tblPr>
    <w:tblStylePr w:type="firstRow">
      <w:rPr>
        <w:b/>
        <w:color w:val="37FFF6" w:themeColor="accent3" w:themeTint="98" w:themeShade="95"/>
      </w:rPr>
      <w:tblPr/>
      <w:tcPr>
        <w:tcBorders>
          <w:bottom w:val="single" w:sz="4" w:space="0" w:color="37FFF6" w:themeColor="accent3" w:themeTint="98"/>
        </w:tcBorders>
      </w:tcPr>
    </w:tblStylePr>
    <w:tblStylePr w:type="lastRow">
      <w:rPr>
        <w:b/>
        <w:color w:val="37FFF6" w:themeColor="accent3" w:themeTint="98" w:themeShade="95"/>
      </w:rPr>
      <w:tblPr/>
      <w:tcPr>
        <w:tcBorders>
          <w:top w:val="single" w:sz="4" w:space="0" w:color="37FFF6" w:themeColor="accent3" w:themeTint="98"/>
        </w:tcBorders>
      </w:tcPr>
    </w:tblStylePr>
    <w:tblStylePr w:type="firstCol">
      <w:rPr>
        <w:b/>
        <w:color w:val="37FFF6" w:themeColor="accent3" w:themeTint="98" w:themeShade="95"/>
      </w:rPr>
    </w:tblStylePr>
    <w:tblStylePr w:type="lastCol">
      <w:rPr>
        <w:b/>
        <w:color w:val="37FFF6" w:themeColor="accent3" w:themeTint="98" w:themeShade="95"/>
      </w:rPr>
    </w:tblStylePr>
    <w:tblStylePr w:type="band1Vert">
      <w:tblPr/>
      <w:tcPr>
        <w:shd w:val="clear" w:color="ABFFFB" w:themeColor="accent3" w:themeTint="40" w:fill="ABFFFB" w:themeFill="accent3" w:themeFillTint="40"/>
      </w:tcPr>
    </w:tblStylePr>
    <w:tblStylePr w:type="band1Horz">
      <w:rPr>
        <w:rFonts w:ascii="Arial" w:hAnsi="Arial"/>
        <w:color w:val="37FFF6" w:themeColor="accent3" w:themeTint="98" w:themeShade="95"/>
        <w:sz w:val="22"/>
      </w:rPr>
      <w:tblPr/>
      <w:tcPr>
        <w:shd w:val="clear" w:color="ABFFFB" w:themeColor="accent3" w:themeTint="40" w:fill="ABFFFB" w:themeFill="accent3" w:themeFillTint="40"/>
      </w:tcPr>
    </w:tblStylePr>
    <w:tblStylePr w:type="band2Horz">
      <w:rPr>
        <w:rFonts w:ascii="Arial" w:hAnsi="Arial"/>
        <w:color w:val="37FFF6"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48EDFF" w:themeColor="accent4" w:themeTint="9A"/>
        <w:bottom w:val="single" w:sz="4" w:space="0" w:color="48EDFF" w:themeColor="accent4" w:themeTint="9A"/>
      </w:tblBorders>
    </w:tblPr>
    <w:tblStylePr w:type="firstRow">
      <w:rPr>
        <w:b/>
        <w:color w:val="48EDFF" w:themeColor="accent4" w:themeTint="9A" w:themeShade="95"/>
      </w:rPr>
      <w:tblPr/>
      <w:tcPr>
        <w:tcBorders>
          <w:bottom w:val="single" w:sz="4" w:space="0" w:color="48EDFF" w:themeColor="accent4" w:themeTint="9A"/>
        </w:tcBorders>
      </w:tcPr>
    </w:tblStylePr>
    <w:tblStylePr w:type="lastRow">
      <w:rPr>
        <w:b/>
        <w:color w:val="48EDFF" w:themeColor="accent4" w:themeTint="9A" w:themeShade="95"/>
      </w:rPr>
      <w:tblPr/>
      <w:tcPr>
        <w:tcBorders>
          <w:top w:val="single" w:sz="4" w:space="0" w:color="48EDFF" w:themeColor="accent4" w:themeTint="9A"/>
        </w:tcBorders>
      </w:tcPr>
    </w:tblStylePr>
    <w:tblStylePr w:type="firstCol">
      <w:rPr>
        <w:b/>
        <w:color w:val="48EDFF" w:themeColor="accent4" w:themeTint="9A" w:themeShade="95"/>
      </w:rPr>
    </w:tblStylePr>
    <w:tblStylePr w:type="lastCol">
      <w:rPr>
        <w:b/>
        <w:color w:val="48EDFF" w:themeColor="accent4" w:themeTint="9A" w:themeShade="95"/>
      </w:rPr>
    </w:tblStylePr>
    <w:tblStylePr w:type="band1Vert">
      <w:tblPr/>
      <w:tcPr>
        <w:shd w:val="clear" w:color="B3F7FF" w:themeColor="accent4" w:themeTint="40" w:fill="B3F7FF" w:themeFill="accent4" w:themeFillTint="40"/>
      </w:tcPr>
    </w:tblStylePr>
    <w:tblStylePr w:type="band1Horz">
      <w:rPr>
        <w:rFonts w:ascii="Arial" w:hAnsi="Arial"/>
        <w:color w:val="48EDFF" w:themeColor="accent4" w:themeTint="9A" w:themeShade="95"/>
        <w:sz w:val="22"/>
      </w:rPr>
      <w:tblPr/>
      <w:tcPr>
        <w:shd w:val="clear" w:color="B3F7FF" w:themeColor="accent4" w:themeTint="40" w:fill="B3F7FF" w:themeFill="accent4" w:themeFillTint="40"/>
      </w:tcPr>
    </w:tblStylePr>
    <w:tblStylePr w:type="band2Horz">
      <w:rPr>
        <w:rFonts w:ascii="Arial" w:hAnsi="Arial"/>
        <w:color w:val="48EDFF"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A3B6DB" w:themeColor="accent5" w:themeTint="9A"/>
        <w:bottom w:val="single" w:sz="4" w:space="0" w:color="A3B6DB" w:themeColor="accent5" w:themeTint="9A"/>
      </w:tblBorders>
    </w:tblPr>
    <w:tblStylePr w:type="firstRow">
      <w:rPr>
        <w:b/>
        <w:color w:val="A3B6DB" w:themeColor="accent5" w:themeTint="9A" w:themeShade="95"/>
      </w:rPr>
      <w:tblPr/>
      <w:tcPr>
        <w:tcBorders>
          <w:bottom w:val="single" w:sz="4" w:space="0" w:color="A3B6DB" w:themeColor="accent5" w:themeTint="9A"/>
        </w:tcBorders>
      </w:tcPr>
    </w:tblStylePr>
    <w:tblStylePr w:type="lastRow">
      <w:rPr>
        <w:b/>
        <w:color w:val="A3B6DB" w:themeColor="accent5" w:themeTint="9A" w:themeShade="95"/>
      </w:rPr>
      <w:tblPr/>
      <w:tcPr>
        <w:tcBorders>
          <w:top w:val="single" w:sz="4" w:space="0" w:color="A3B6DB" w:themeColor="accent5" w:themeTint="9A"/>
        </w:tcBorders>
      </w:tcPr>
    </w:tblStylePr>
    <w:tblStylePr w:type="firstCol">
      <w:rPr>
        <w:b/>
        <w:color w:val="A3B6DB" w:themeColor="accent5" w:themeTint="9A" w:themeShade="95"/>
      </w:rPr>
    </w:tblStylePr>
    <w:tblStylePr w:type="lastCol">
      <w:rPr>
        <w:b/>
        <w:color w:val="A3B6DB" w:themeColor="accent5" w:themeTint="9A" w:themeShade="95"/>
      </w:rPr>
    </w:tblStylePr>
    <w:tblStylePr w:type="band1Vert">
      <w:tblPr/>
      <w:tcPr>
        <w:shd w:val="clear" w:color="D8E0F0" w:themeColor="accent5" w:themeTint="40" w:fill="D8E0F0" w:themeFill="accent5" w:themeFillTint="40"/>
      </w:tcPr>
    </w:tblStylePr>
    <w:tblStylePr w:type="band1Horz">
      <w:rPr>
        <w:rFonts w:ascii="Arial" w:hAnsi="Arial"/>
        <w:color w:val="A3B6DB" w:themeColor="accent5" w:themeTint="9A" w:themeShade="95"/>
        <w:sz w:val="22"/>
      </w:rPr>
      <w:tblPr/>
      <w:tcPr>
        <w:shd w:val="clear" w:color="D8E0F0" w:themeColor="accent5" w:themeTint="40" w:fill="D8E0F0" w:themeFill="accent5" w:themeFillTint="40"/>
      </w:tcPr>
    </w:tblStylePr>
    <w:tblStylePr w:type="band2Horz">
      <w:rPr>
        <w:rFonts w:ascii="Arial" w:hAnsi="Arial"/>
        <w:color w:val="A3B6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C592C6" w:themeColor="accent6" w:themeTint="98"/>
        <w:bottom w:val="single" w:sz="4" w:space="0" w:color="C592C6" w:themeColor="accent6" w:themeTint="98"/>
      </w:tblBorders>
    </w:tblPr>
    <w:tblStylePr w:type="firstRow">
      <w:rPr>
        <w:b/>
        <w:color w:val="C592C6" w:themeColor="accent6" w:themeTint="98" w:themeShade="95"/>
      </w:rPr>
      <w:tblPr/>
      <w:tcPr>
        <w:tcBorders>
          <w:bottom w:val="single" w:sz="4" w:space="0" w:color="C592C6" w:themeColor="accent6" w:themeTint="98"/>
        </w:tcBorders>
      </w:tcPr>
    </w:tblStylePr>
    <w:tblStylePr w:type="lastRow">
      <w:rPr>
        <w:b/>
        <w:color w:val="C592C6" w:themeColor="accent6" w:themeTint="98" w:themeShade="95"/>
      </w:rPr>
      <w:tblPr/>
      <w:tcPr>
        <w:tcBorders>
          <w:top w:val="single" w:sz="4" w:space="0" w:color="C592C6" w:themeColor="accent6" w:themeTint="98"/>
        </w:tcBorders>
      </w:tcPr>
    </w:tblStylePr>
    <w:tblStylePr w:type="firstCol">
      <w:rPr>
        <w:b/>
        <w:color w:val="C592C6" w:themeColor="accent6" w:themeTint="98" w:themeShade="95"/>
      </w:rPr>
    </w:tblStylePr>
    <w:tblStylePr w:type="lastCol">
      <w:rPr>
        <w:b/>
        <w:color w:val="C592C6" w:themeColor="accent6" w:themeTint="98" w:themeShade="95"/>
      </w:rPr>
    </w:tblStylePr>
    <w:tblStylePr w:type="band1Vert">
      <w:tblPr/>
      <w:tcPr>
        <w:shd w:val="clear" w:color="E6D1E7" w:themeColor="accent6" w:themeTint="40" w:fill="E6D1E7" w:themeFill="accent6" w:themeFillTint="40"/>
      </w:tcPr>
    </w:tblStylePr>
    <w:tblStylePr w:type="band1Horz">
      <w:rPr>
        <w:rFonts w:ascii="Arial" w:hAnsi="Arial"/>
        <w:color w:val="C592C6" w:themeColor="accent6" w:themeTint="98" w:themeShade="95"/>
        <w:sz w:val="22"/>
      </w:rPr>
      <w:tblPr/>
      <w:tcPr>
        <w:shd w:val="clear" w:color="E6D1E7" w:themeColor="accent6" w:themeTint="40" w:fill="E6D1E7" w:themeFill="accent6" w:themeFillTint="40"/>
      </w:tcPr>
    </w:tblStylePr>
    <w:tblStylePr w:type="band2Horz">
      <w:rPr>
        <w:rFonts w:ascii="Arial" w:hAnsi="Arial"/>
        <w:color w:val="C592C6"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00558C" w:themeColor="accent1"/>
      </w:tblBorders>
    </w:tblPr>
    <w:tblStylePr w:type="firstRow">
      <w:rPr>
        <w:rFonts w:ascii="Arial" w:hAnsi="Arial"/>
        <w:i/>
        <w:color w:val="003151" w:themeColor="accent1" w:themeShade="95"/>
        <w:sz w:val="22"/>
      </w:rPr>
      <w:tblPr/>
      <w:tcPr>
        <w:tcBorders>
          <w:top w:val="none" w:sz="4" w:space="0" w:color="000000"/>
          <w:left w:val="none" w:sz="4" w:space="0" w:color="000000"/>
          <w:bottom w:val="single" w:sz="4" w:space="0" w:color="00558C" w:themeColor="accent1"/>
          <w:right w:val="none" w:sz="4" w:space="0" w:color="000000"/>
        </w:tcBorders>
        <w:shd w:val="clear" w:color="FFFFFF" w:themeColor="light1" w:fill="FFFFFF" w:themeFill="light1"/>
      </w:tcPr>
    </w:tblStylePr>
    <w:tblStylePr w:type="lastRow">
      <w:rPr>
        <w:rFonts w:ascii="Arial" w:hAnsi="Arial"/>
        <w:i/>
        <w:color w:val="003151" w:themeColor="accent1" w:themeShade="95"/>
        <w:sz w:val="22"/>
      </w:rPr>
      <w:tblPr/>
      <w:tcPr>
        <w:tcBorders>
          <w:top w:val="single" w:sz="4" w:space="0" w:color="00558C"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03151" w:themeColor="accent1" w:themeShade="95"/>
        <w:sz w:val="22"/>
      </w:rPr>
      <w:tblPr/>
      <w:tcPr>
        <w:tcBorders>
          <w:top w:val="none" w:sz="4" w:space="0" w:color="000000"/>
          <w:left w:val="none" w:sz="4" w:space="0" w:color="000000"/>
          <w:bottom w:val="none" w:sz="4" w:space="0" w:color="000000"/>
          <w:right w:val="single" w:sz="4" w:space="0" w:color="00558C" w:themeColor="accent1"/>
        </w:tcBorders>
        <w:shd w:val="clear" w:color="FFFFFF" w:fill="auto"/>
      </w:tcPr>
    </w:tblStylePr>
    <w:tblStylePr w:type="lastCol">
      <w:rPr>
        <w:rFonts w:ascii="Arial" w:hAnsi="Arial"/>
        <w:i/>
        <w:color w:val="003151" w:themeColor="accent1" w:themeShade="95"/>
        <w:sz w:val="22"/>
      </w:rPr>
      <w:tblPr/>
      <w:tcPr>
        <w:tcBorders>
          <w:top w:val="none" w:sz="4" w:space="0" w:color="000000"/>
          <w:left w:val="single" w:sz="4" w:space="0" w:color="00558C" w:themeColor="accent1"/>
          <w:bottom w:val="none" w:sz="4" w:space="0" w:color="000000"/>
          <w:right w:val="none" w:sz="4" w:space="0" w:color="000000"/>
        </w:tcBorders>
        <w:shd w:val="clear" w:color="FFFFFF" w:fill="auto"/>
      </w:tcPr>
    </w:tblStylePr>
    <w:tblStylePr w:type="band1Vert">
      <w:tblPr/>
      <w:tcPr>
        <w:shd w:val="clear" w:color="A2DAFF" w:themeColor="accent1" w:themeTint="40" w:fill="A2DAFF" w:themeFill="accent1" w:themeFillTint="40"/>
      </w:tcPr>
    </w:tblStylePr>
    <w:tblStylePr w:type="band1Horz">
      <w:rPr>
        <w:rFonts w:ascii="Arial" w:hAnsi="Arial"/>
        <w:color w:val="003151" w:themeColor="accent1" w:themeShade="95"/>
        <w:sz w:val="22"/>
      </w:rPr>
      <w:tblPr/>
      <w:tcPr>
        <w:shd w:val="clear" w:color="A2DAFF" w:themeColor="accent1" w:themeTint="40" w:fill="A2DAFF" w:themeFill="accent1" w:themeFillTint="40"/>
      </w:tcPr>
    </w:tblStylePr>
    <w:tblStylePr w:type="band2Horz">
      <w:rPr>
        <w:rFonts w:ascii="Arial" w:hAnsi="Arial"/>
        <w:color w:val="00315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57CCFF" w:themeColor="accent2" w:themeTint="97"/>
      </w:tblBorders>
    </w:tblPr>
    <w:tblStylePr w:type="firstRow">
      <w:rPr>
        <w:rFonts w:ascii="Arial" w:hAnsi="Arial"/>
        <w:i/>
        <w:color w:val="57CCFF" w:themeColor="accent2" w:themeTint="97" w:themeShade="95"/>
        <w:sz w:val="22"/>
      </w:rPr>
      <w:tblPr/>
      <w:tcPr>
        <w:tcBorders>
          <w:top w:val="none" w:sz="4" w:space="0" w:color="000000"/>
          <w:left w:val="none" w:sz="4" w:space="0" w:color="000000"/>
          <w:bottom w:val="single" w:sz="4" w:space="0" w:color="57CCFF" w:themeColor="accent2" w:themeTint="97"/>
          <w:right w:val="none" w:sz="4" w:space="0" w:color="000000"/>
        </w:tcBorders>
        <w:shd w:val="clear" w:color="FFFFFF" w:themeColor="light1" w:fill="FFFFFF" w:themeFill="light1"/>
      </w:tcPr>
    </w:tblStylePr>
    <w:tblStylePr w:type="lastRow">
      <w:rPr>
        <w:rFonts w:ascii="Arial" w:hAnsi="Arial"/>
        <w:i/>
        <w:color w:val="57CCFF" w:themeColor="accent2" w:themeTint="97" w:themeShade="95"/>
        <w:sz w:val="22"/>
      </w:rPr>
      <w:tblPr/>
      <w:tcPr>
        <w:tcBorders>
          <w:top w:val="single" w:sz="4" w:space="0" w:color="57CCFF"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7CCFF" w:themeColor="accent2" w:themeTint="97" w:themeShade="95"/>
        <w:sz w:val="22"/>
      </w:rPr>
      <w:tblPr/>
      <w:tcPr>
        <w:tcBorders>
          <w:top w:val="none" w:sz="4" w:space="0" w:color="000000"/>
          <w:left w:val="none" w:sz="4" w:space="0" w:color="000000"/>
          <w:bottom w:val="none" w:sz="4" w:space="0" w:color="000000"/>
          <w:right w:val="single" w:sz="4" w:space="0" w:color="57CCFF" w:themeColor="accent2" w:themeTint="97"/>
        </w:tcBorders>
        <w:shd w:val="clear" w:color="FFFFFF" w:fill="auto"/>
      </w:tcPr>
    </w:tblStylePr>
    <w:tblStylePr w:type="lastCol">
      <w:rPr>
        <w:rFonts w:ascii="Arial" w:hAnsi="Arial"/>
        <w:i/>
        <w:color w:val="57CCFF" w:themeColor="accent2" w:themeTint="97" w:themeShade="95"/>
        <w:sz w:val="22"/>
      </w:rPr>
      <w:tblPr/>
      <w:tcPr>
        <w:tcBorders>
          <w:top w:val="none" w:sz="4" w:space="0" w:color="000000"/>
          <w:left w:val="single" w:sz="4" w:space="0" w:color="57CCFF" w:themeColor="accent2" w:themeTint="97"/>
          <w:bottom w:val="none" w:sz="4" w:space="0" w:color="000000"/>
          <w:right w:val="none" w:sz="4" w:space="0" w:color="000000"/>
        </w:tcBorders>
        <w:shd w:val="clear" w:color="FFFFFF" w:fill="auto"/>
      </w:tcPr>
    </w:tblStylePr>
    <w:tblStylePr w:type="band1Vert">
      <w:tblPr/>
      <w:tcPr>
        <w:shd w:val="clear" w:color="B7E9FF" w:themeColor="accent2" w:themeTint="40" w:fill="B7E9FF" w:themeFill="accent2" w:themeFillTint="40"/>
      </w:tcPr>
    </w:tblStylePr>
    <w:tblStylePr w:type="band1Horz">
      <w:rPr>
        <w:rFonts w:ascii="Arial" w:hAnsi="Arial"/>
        <w:color w:val="57CCFF" w:themeColor="accent2" w:themeTint="97" w:themeShade="95"/>
        <w:sz w:val="22"/>
      </w:rPr>
      <w:tblPr/>
      <w:tcPr>
        <w:shd w:val="clear" w:color="B7E9FF" w:themeColor="accent2" w:themeTint="40" w:fill="B7E9FF" w:themeFill="accent2" w:themeFillTint="40"/>
      </w:tcPr>
    </w:tblStylePr>
    <w:tblStylePr w:type="band2Horz">
      <w:rPr>
        <w:rFonts w:ascii="Arial" w:hAnsi="Arial"/>
        <w:color w:val="57CCFF"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37FFF6" w:themeColor="accent3" w:themeTint="98"/>
      </w:tblBorders>
    </w:tblPr>
    <w:tblStylePr w:type="firstRow">
      <w:rPr>
        <w:rFonts w:ascii="Arial" w:hAnsi="Arial"/>
        <w:i/>
        <w:color w:val="37FFF6" w:themeColor="accent3" w:themeTint="98" w:themeShade="95"/>
        <w:sz w:val="22"/>
      </w:rPr>
      <w:tblPr/>
      <w:tcPr>
        <w:tcBorders>
          <w:top w:val="none" w:sz="4" w:space="0" w:color="000000"/>
          <w:left w:val="none" w:sz="4" w:space="0" w:color="000000"/>
          <w:bottom w:val="single" w:sz="4" w:space="0" w:color="37FFF6" w:themeColor="accent3" w:themeTint="98"/>
          <w:right w:val="none" w:sz="4" w:space="0" w:color="000000"/>
        </w:tcBorders>
        <w:shd w:val="clear" w:color="FFFFFF" w:themeColor="light1" w:fill="FFFFFF" w:themeFill="light1"/>
      </w:tcPr>
    </w:tblStylePr>
    <w:tblStylePr w:type="lastRow">
      <w:rPr>
        <w:rFonts w:ascii="Arial" w:hAnsi="Arial"/>
        <w:i/>
        <w:color w:val="37FFF6" w:themeColor="accent3" w:themeTint="98" w:themeShade="95"/>
        <w:sz w:val="22"/>
      </w:rPr>
      <w:tblPr/>
      <w:tcPr>
        <w:tcBorders>
          <w:top w:val="single" w:sz="4" w:space="0" w:color="37FFF6"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37FFF6" w:themeColor="accent3" w:themeTint="98" w:themeShade="95"/>
        <w:sz w:val="22"/>
      </w:rPr>
      <w:tblPr/>
      <w:tcPr>
        <w:tcBorders>
          <w:top w:val="none" w:sz="4" w:space="0" w:color="000000"/>
          <w:left w:val="none" w:sz="4" w:space="0" w:color="000000"/>
          <w:bottom w:val="none" w:sz="4" w:space="0" w:color="000000"/>
          <w:right w:val="single" w:sz="4" w:space="0" w:color="37FFF6" w:themeColor="accent3" w:themeTint="98"/>
        </w:tcBorders>
        <w:shd w:val="clear" w:color="FFFFFF" w:fill="auto"/>
      </w:tcPr>
    </w:tblStylePr>
    <w:tblStylePr w:type="lastCol">
      <w:rPr>
        <w:rFonts w:ascii="Arial" w:hAnsi="Arial"/>
        <w:i/>
        <w:color w:val="37FFF6" w:themeColor="accent3" w:themeTint="98" w:themeShade="95"/>
        <w:sz w:val="22"/>
      </w:rPr>
      <w:tblPr/>
      <w:tcPr>
        <w:tcBorders>
          <w:top w:val="none" w:sz="4" w:space="0" w:color="000000"/>
          <w:left w:val="single" w:sz="4" w:space="0" w:color="37FFF6" w:themeColor="accent3" w:themeTint="98"/>
          <w:bottom w:val="none" w:sz="4" w:space="0" w:color="000000"/>
          <w:right w:val="none" w:sz="4" w:space="0" w:color="000000"/>
        </w:tcBorders>
        <w:shd w:val="clear" w:color="FFFFFF" w:fill="auto"/>
      </w:tcPr>
    </w:tblStylePr>
    <w:tblStylePr w:type="band1Vert">
      <w:tblPr/>
      <w:tcPr>
        <w:shd w:val="clear" w:color="ABFFFB" w:themeColor="accent3" w:themeTint="40" w:fill="ABFFFB" w:themeFill="accent3" w:themeFillTint="40"/>
      </w:tcPr>
    </w:tblStylePr>
    <w:tblStylePr w:type="band1Horz">
      <w:rPr>
        <w:rFonts w:ascii="Arial" w:hAnsi="Arial"/>
        <w:color w:val="37FFF6" w:themeColor="accent3" w:themeTint="98" w:themeShade="95"/>
        <w:sz w:val="22"/>
      </w:rPr>
      <w:tblPr/>
      <w:tcPr>
        <w:shd w:val="clear" w:color="ABFFFB" w:themeColor="accent3" w:themeTint="40" w:fill="ABFFFB" w:themeFill="accent3" w:themeFillTint="40"/>
      </w:tcPr>
    </w:tblStylePr>
    <w:tblStylePr w:type="band2Horz">
      <w:rPr>
        <w:rFonts w:ascii="Arial" w:hAnsi="Arial"/>
        <w:color w:val="37FFF6"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48EDFF" w:themeColor="accent4" w:themeTint="9A"/>
      </w:tblBorders>
    </w:tblPr>
    <w:tblStylePr w:type="firstRow">
      <w:rPr>
        <w:rFonts w:ascii="Arial" w:hAnsi="Arial"/>
        <w:i/>
        <w:color w:val="48EDFF" w:themeColor="accent4" w:themeTint="9A" w:themeShade="95"/>
        <w:sz w:val="22"/>
      </w:rPr>
      <w:tblPr/>
      <w:tcPr>
        <w:tcBorders>
          <w:top w:val="none" w:sz="4" w:space="0" w:color="000000"/>
          <w:left w:val="none" w:sz="4" w:space="0" w:color="000000"/>
          <w:bottom w:val="single" w:sz="4" w:space="0" w:color="48EDFF" w:themeColor="accent4" w:themeTint="9A"/>
          <w:right w:val="none" w:sz="4" w:space="0" w:color="000000"/>
        </w:tcBorders>
        <w:shd w:val="clear" w:color="FFFFFF" w:themeColor="light1" w:fill="FFFFFF" w:themeFill="light1"/>
      </w:tcPr>
    </w:tblStylePr>
    <w:tblStylePr w:type="lastRow">
      <w:rPr>
        <w:rFonts w:ascii="Arial" w:hAnsi="Arial"/>
        <w:i/>
        <w:color w:val="48EDFF" w:themeColor="accent4" w:themeTint="9A" w:themeShade="95"/>
        <w:sz w:val="22"/>
      </w:rPr>
      <w:tblPr/>
      <w:tcPr>
        <w:tcBorders>
          <w:top w:val="single" w:sz="4" w:space="0" w:color="48EDFF"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EDFF" w:themeColor="accent4" w:themeTint="9A" w:themeShade="95"/>
        <w:sz w:val="22"/>
      </w:rPr>
      <w:tblPr/>
      <w:tcPr>
        <w:tcBorders>
          <w:top w:val="none" w:sz="4" w:space="0" w:color="000000"/>
          <w:left w:val="none" w:sz="4" w:space="0" w:color="000000"/>
          <w:bottom w:val="none" w:sz="4" w:space="0" w:color="000000"/>
          <w:right w:val="single" w:sz="4" w:space="0" w:color="48EDFF" w:themeColor="accent4" w:themeTint="9A"/>
        </w:tcBorders>
        <w:shd w:val="clear" w:color="FFFFFF" w:fill="auto"/>
      </w:tcPr>
    </w:tblStylePr>
    <w:tblStylePr w:type="lastCol">
      <w:rPr>
        <w:rFonts w:ascii="Arial" w:hAnsi="Arial"/>
        <w:i/>
        <w:color w:val="48EDFF" w:themeColor="accent4" w:themeTint="9A" w:themeShade="95"/>
        <w:sz w:val="22"/>
      </w:rPr>
      <w:tblPr/>
      <w:tcPr>
        <w:tcBorders>
          <w:top w:val="none" w:sz="4" w:space="0" w:color="000000"/>
          <w:left w:val="single" w:sz="4" w:space="0" w:color="48EDFF" w:themeColor="accent4" w:themeTint="9A"/>
          <w:bottom w:val="none" w:sz="4" w:space="0" w:color="000000"/>
          <w:right w:val="none" w:sz="4" w:space="0" w:color="000000"/>
        </w:tcBorders>
        <w:shd w:val="clear" w:color="FFFFFF" w:fill="auto"/>
      </w:tcPr>
    </w:tblStylePr>
    <w:tblStylePr w:type="band1Vert">
      <w:tblPr/>
      <w:tcPr>
        <w:shd w:val="clear" w:color="B3F7FF" w:themeColor="accent4" w:themeTint="40" w:fill="B3F7FF" w:themeFill="accent4" w:themeFillTint="40"/>
      </w:tcPr>
    </w:tblStylePr>
    <w:tblStylePr w:type="band1Horz">
      <w:rPr>
        <w:rFonts w:ascii="Arial" w:hAnsi="Arial"/>
        <w:color w:val="48EDFF" w:themeColor="accent4" w:themeTint="9A" w:themeShade="95"/>
        <w:sz w:val="22"/>
      </w:rPr>
      <w:tblPr/>
      <w:tcPr>
        <w:shd w:val="clear" w:color="B3F7FF" w:themeColor="accent4" w:themeTint="40" w:fill="B3F7FF" w:themeFill="accent4" w:themeFillTint="40"/>
      </w:tcPr>
    </w:tblStylePr>
    <w:tblStylePr w:type="band2Horz">
      <w:rPr>
        <w:rFonts w:ascii="Arial" w:hAnsi="Arial"/>
        <w:color w:val="48EDFF"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A3B6DB" w:themeColor="accent5" w:themeTint="9A"/>
      </w:tblBorders>
    </w:tblPr>
    <w:tblStylePr w:type="firstRow">
      <w:rPr>
        <w:rFonts w:ascii="Arial" w:hAnsi="Arial"/>
        <w:i/>
        <w:color w:val="A3B6DB" w:themeColor="accent5" w:themeTint="9A" w:themeShade="95"/>
        <w:sz w:val="22"/>
      </w:rPr>
      <w:tblPr/>
      <w:tcPr>
        <w:tcBorders>
          <w:top w:val="none" w:sz="4" w:space="0" w:color="000000"/>
          <w:left w:val="none" w:sz="4" w:space="0" w:color="000000"/>
          <w:bottom w:val="single" w:sz="4" w:space="0" w:color="A3B6DB" w:themeColor="accent5" w:themeTint="9A"/>
          <w:right w:val="none" w:sz="4" w:space="0" w:color="000000"/>
        </w:tcBorders>
        <w:shd w:val="clear" w:color="FFFFFF" w:themeColor="light1" w:fill="FFFFFF" w:themeFill="light1"/>
      </w:tcPr>
    </w:tblStylePr>
    <w:tblStylePr w:type="lastRow">
      <w:rPr>
        <w:rFonts w:ascii="Arial" w:hAnsi="Arial"/>
        <w:i/>
        <w:color w:val="A3B6DB" w:themeColor="accent5" w:themeTint="9A" w:themeShade="95"/>
        <w:sz w:val="22"/>
      </w:rPr>
      <w:tblPr/>
      <w:tcPr>
        <w:tcBorders>
          <w:top w:val="single" w:sz="4" w:space="0" w:color="A3B6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3B6DB" w:themeColor="accent5" w:themeTint="9A" w:themeShade="95"/>
        <w:sz w:val="22"/>
      </w:rPr>
      <w:tblPr/>
      <w:tcPr>
        <w:tcBorders>
          <w:top w:val="none" w:sz="4" w:space="0" w:color="000000"/>
          <w:left w:val="none" w:sz="4" w:space="0" w:color="000000"/>
          <w:bottom w:val="none" w:sz="4" w:space="0" w:color="000000"/>
          <w:right w:val="single" w:sz="4" w:space="0" w:color="A3B6DB" w:themeColor="accent5" w:themeTint="9A"/>
        </w:tcBorders>
        <w:shd w:val="clear" w:color="FFFFFF" w:fill="auto"/>
      </w:tcPr>
    </w:tblStylePr>
    <w:tblStylePr w:type="lastCol">
      <w:rPr>
        <w:rFonts w:ascii="Arial" w:hAnsi="Arial"/>
        <w:i/>
        <w:color w:val="A3B6DB" w:themeColor="accent5" w:themeTint="9A" w:themeShade="95"/>
        <w:sz w:val="22"/>
      </w:rPr>
      <w:tblPr/>
      <w:tcPr>
        <w:tcBorders>
          <w:top w:val="none" w:sz="4" w:space="0" w:color="000000"/>
          <w:left w:val="single" w:sz="4" w:space="0" w:color="A3B6DB" w:themeColor="accent5" w:themeTint="9A"/>
          <w:bottom w:val="none" w:sz="4" w:space="0" w:color="000000"/>
          <w:right w:val="none" w:sz="4" w:space="0" w:color="000000"/>
        </w:tcBorders>
        <w:shd w:val="clear" w:color="FFFFFF" w:fill="auto"/>
      </w:tcPr>
    </w:tblStylePr>
    <w:tblStylePr w:type="band1Vert">
      <w:tblPr/>
      <w:tcPr>
        <w:shd w:val="clear" w:color="D8E0F0" w:themeColor="accent5" w:themeTint="40" w:fill="D8E0F0" w:themeFill="accent5" w:themeFillTint="40"/>
      </w:tcPr>
    </w:tblStylePr>
    <w:tblStylePr w:type="band1Horz">
      <w:rPr>
        <w:rFonts w:ascii="Arial" w:hAnsi="Arial"/>
        <w:color w:val="A3B6DB" w:themeColor="accent5" w:themeTint="9A" w:themeShade="95"/>
        <w:sz w:val="22"/>
      </w:rPr>
      <w:tblPr/>
      <w:tcPr>
        <w:shd w:val="clear" w:color="D8E0F0" w:themeColor="accent5" w:themeTint="40" w:fill="D8E0F0" w:themeFill="accent5" w:themeFillTint="40"/>
      </w:tcPr>
    </w:tblStylePr>
    <w:tblStylePr w:type="band2Horz">
      <w:rPr>
        <w:rFonts w:ascii="Arial" w:hAnsi="Arial"/>
        <w:color w:val="A3B6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C592C6" w:themeColor="accent6" w:themeTint="98"/>
      </w:tblBorders>
    </w:tblPr>
    <w:tblStylePr w:type="firstRow">
      <w:rPr>
        <w:rFonts w:ascii="Arial" w:hAnsi="Arial"/>
        <w:i/>
        <w:color w:val="C592C6" w:themeColor="accent6" w:themeTint="98" w:themeShade="95"/>
        <w:sz w:val="22"/>
      </w:rPr>
      <w:tblPr/>
      <w:tcPr>
        <w:tcBorders>
          <w:top w:val="none" w:sz="4" w:space="0" w:color="000000"/>
          <w:left w:val="none" w:sz="4" w:space="0" w:color="000000"/>
          <w:bottom w:val="single" w:sz="4" w:space="0" w:color="C592C6" w:themeColor="accent6" w:themeTint="98"/>
          <w:right w:val="none" w:sz="4" w:space="0" w:color="000000"/>
        </w:tcBorders>
        <w:shd w:val="clear" w:color="FFFFFF" w:themeColor="light1" w:fill="FFFFFF" w:themeFill="light1"/>
      </w:tcPr>
    </w:tblStylePr>
    <w:tblStylePr w:type="lastRow">
      <w:rPr>
        <w:rFonts w:ascii="Arial" w:hAnsi="Arial"/>
        <w:i/>
        <w:color w:val="C592C6" w:themeColor="accent6" w:themeTint="98" w:themeShade="95"/>
        <w:sz w:val="22"/>
      </w:rPr>
      <w:tblPr/>
      <w:tcPr>
        <w:tcBorders>
          <w:top w:val="single" w:sz="4" w:space="0" w:color="C592C6"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592C6" w:themeColor="accent6" w:themeTint="98" w:themeShade="95"/>
        <w:sz w:val="22"/>
      </w:rPr>
      <w:tblPr/>
      <w:tcPr>
        <w:tcBorders>
          <w:top w:val="none" w:sz="4" w:space="0" w:color="000000"/>
          <w:left w:val="none" w:sz="4" w:space="0" w:color="000000"/>
          <w:bottom w:val="none" w:sz="4" w:space="0" w:color="000000"/>
          <w:right w:val="single" w:sz="4" w:space="0" w:color="C592C6" w:themeColor="accent6" w:themeTint="98"/>
        </w:tcBorders>
        <w:shd w:val="clear" w:color="FFFFFF" w:fill="auto"/>
      </w:tcPr>
    </w:tblStylePr>
    <w:tblStylePr w:type="lastCol">
      <w:rPr>
        <w:rFonts w:ascii="Arial" w:hAnsi="Arial"/>
        <w:i/>
        <w:color w:val="C592C6" w:themeColor="accent6" w:themeTint="98" w:themeShade="95"/>
        <w:sz w:val="22"/>
      </w:rPr>
      <w:tblPr/>
      <w:tcPr>
        <w:tcBorders>
          <w:top w:val="none" w:sz="4" w:space="0" w:color="000000"/>
          <w:left w:val="single" w:sz="4" w:space="0" w:color="C592C6" w:themeColor="accent6" w:themeTint="98"/>
          <w:bottom w:val="none" w:sz="4" w:space="0" w:color="000000"/>
          <w:right w:val="none" w:sz="4" w:space="0" w:color="000000"/>
        </w:tcBorders>
        <w:shd w:val="clear" w:color="FFFFFF" w:fill="auto"/>
      </w:tcPr>
    </w:tblStylePr>
    <w:tblStylePr w:type="band1Vert">
      <w:tblPr/>
      <w:tcPr>
        <w:shd w:val="clear" w:color="E6D1E7" w:themeColor="accent6" w:themeTint="40" w:fill="E6D1E7" w:themeFill="accent6" w:themeFillTint="40"/>
      </w:tcPr>
    </w:tblStylePr>
    <w:tblStylePr w:type="band1Horz">
      <w:rPr>
        <w:rFonts w:ascii="Arial" w:hAnsi="Arial"/>
        <w:color w:val="C592C6" w:themeColor="accent6" w:themeTint="98" w:themeShade="95"/>
        <w:sz w:val="22"/>
      </w:rPr>
      <w:tblPr/>
      <w:tcPr>
        <w:shd w:val="clear" w:color="E6D1E7" w:themeColor="accent6" w:themeTint="40" w:fill="E6D1E7" w:themeFill="accent6" w:themeFillTint="40"/>
      </w:tcPr>
    </w:tblStylePr>
    <w:tblStylePr w:type="band2Horz">
      <w:rPr>
        <w:rFonts w:ascii="Arial" w:hAnsi="Arial"/>
        <w:color w:val="C592C6"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0066AA" w:themeColor="accent1" w:themeTint="EA" w:fill="0066AA" w:themeFill="accent1" w:themeFillTint="EA"/>
      </w:tcPr>
    </w:tblStylePr>
    <w:tblStylePr w:type="lastRow">
      <w:rPr>
        <w:rFonts w:ascii="Arial" w:hAnsi="Arial"/>
        <w:color w:val="F2F2F2"/>
        <w:sz w:val="22"/>
      </w:rPr>
      <w:tblPr/>
      <w:tcPr>
        <w:shd w:val="clear" w:color="0066AA" w:themeColor="accent1" w:themeTint="EA" w:fill="0066AA" w:themeFill="accent1" w:themeFillTint="EA"/>
      </w:tcPr>
    </w:tblStylePr>
    <w:tblStylePr w:type="firstCol">
      <w:rPr>
        <w:rFonts w:ascii="Arial" w:hAnsi="Arial"/>
        <w:color w:val="F2F2F2"/>
        <w:sz w:val="22"/>
      </w:rPr>
      <w:tblPr/>
      <w:tcPr>
        <w:shd w:val="clear" w:color="0066AA" w:themeColor="accent1" w:themeTint="EA" w:fill="0066AA" w:themeFill="accent1" w:themeFillTint="EA"/>
      </w:tcPr>
    </w:tblStylePr>
    <w:tblStylePr w:type="lastCol">
      <w:rPr>
        <w:rFonts w:ascii="Arial" w:hAnsi="Arial"/>
        <w:color w:val="F2F2F2"/>
        <w:sz w:val="22"/>
      </w:rPr>
      <w:tblPr/>
      <w:tcPr>
        <w:shd w:val="clear" w:color="0066AA" w:themeColor="accent1" w:themeTint="EA" w:fill="0066AA"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AD0FF" w:themeColor="accent1" w:themeTint="50" w:fill="8AD0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AD0FF" w:themeColor="accent1" w:themeTint="50" w:fill="8AD0FF"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57CCFF" w:themeColor="accent2" w:themeTint="97" w:fill="57CCFF" w:themeFill="accent2" w:themeFillTint="97"/>
      </w:tcPr>
    </w:tblStylePr>
    <w:tblStylePr w:type="lastRow">
      <w:rPr>
        <w:rFonts w:ascii="Arial" w:hAnsi="Arial"/>
        <w:color w:val="F2F2F2"/>
        <w:sz w:val="22"/>
      </w:rPr>
      <w:tblPr/>
      <w:tcPr>
        <w:shd w:val="clear" w:color="57CCFF" w:themeColor="accent2" w:themeTint="97" w:fill="57CCFF" w:themeFill="accent2" w:themeFillTint="97"/>
      </w:tcPr>
    </w:tblStylePr>
    <w:tblStylePr w:type="firstCol">
      <w:rPr>
        <w:rFonts w:ascii="Arial" w:hAnsi="Arial"/>
        <w:color w:val="F2F2F2"/>
        <w:sz w:val="22"/>
      </w:rPr>
      <w:tblPr/>
      <w:tcPr>
        <w:shd w:val="clear" w:color="57CCFF" w:themeColor="accent2" w:themeTint="97" w:fill="57CCFF" w:themeFill="accent2" w:themeFillTint="97"/>
      </w:tcPr>
    </w:tblStylePr>
    <w:tblStylePr w:type="lastCol">
      <w:rPr>
        <w:rFonts w:ascii="Arial" w:hAnsi="Arial"/>
        <w:color w:val="F2F2F2"/>
        <w:sz w:val="22"/>
      </w:rPr>
      <w:tblPr/>
      <w:tcPr>
        <w:shd w:val="clear" w:color="57CCFF" w:themeColor="accent2" w:themeTint="97" w:fill="57CC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7EEFF" w:themeColor="accent2" w:themeTint="32" w:fill="C7EE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7EEFF" w:themeColor="accent2" w:themeTint="32" w:fill="C7EEFF"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00B1A9" w:themeColor="accent3" w:themeTint="FE" w:fill="00B1A9" w:themeFill="accent3" w:themeFillTint="FE"/>
      </w:tcPr>
    </w:tblStylePr>
    <w:tblStylePr w:type="lastRow">
      <w:rPr>
        <w:rFonts w:ascii="Arial" w:hAnsi="Arial"/>
        <w:color w:val="F2F2F2"/>
        <w:sz w:val="22"/>
      </w:rPr>
      <w:tblPr/>
      <w:tcPr>
        <w:shd w:val="clear" w:color="00B1A9" w:themeColor="accent3" w:themeTint="FE" w:fill="00B1A9" w:themeFill="accent3" w:themeFillTint="FE"/>
      </w:tcPr>
    </w:tblStylePr>
    <w:tblStylePr w:type="firstCol">
      <w:rPr>
        <w:rFonts w:ascii="Arial" w:hAnsi="Arial"/>
        <w:color w:val="F2F2F2"/>
        <w:sz w:val="22"/>
      </w:rPr>
      <w:tblPr/>
      <w:tcPr>
        <w:shd w:val="clear" w:color="00B1A9" w:themeColor="accent3" w:themeTint="FE" w:fill="00B1A9" w:themeFill="accent3" w:themeFillTint="FE"/>
      </w:tcPr>
    </w:tblStylePr>
    <w:tblStylePr w:type="lastCol">
      <w:rPr>
        <w:rFonts w:ascii="Arial" w:hAnsi="Arial"/>
        <w:color w:val="F2F2F2"/>
        <w:sz w:val="22"/>
      </w:rPr>
      <w:tblPr/>
      <w:tcPr>
        <w:shd w:val="clear" w:color="00B1A9" w:themeColor="accent3" w:themeTint="FE" w:fill="00B1A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AFFFC" w:themeColor="accent3" w:themeTint="34" w:fill="BAFFF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AFFFC" w:themeColor="accent3" w:themeTint="34" w:fill="BAFFF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48EDFF" w:themeColor="accent4" w:themeTint="9A" w:fill="48EDFF" w:themeFill="accent4" w:themeFillTint="9A"/>
      </w:tcPr>
    </w:tblStylePr>
    <w:tblStylePr w:type="lastRow">
      <w:rPr>
        <w:rFonts w:ascii="Arial" w:hAnsi="Arial"/>
        <w:color w:val="F2F2F2"/>
        <w:sz w:val="22"/>
      </w:rPr>
      <w:tblPr/>
      <w:tcPr>
        <w:shd w:val="clear" w:color="48EDFF" w:themeColor="accent4" w:themeTint="9A" w:fill="48EDFF" w:themeFill="accent4" w:themeFillTint="9A"/>
      </w:tcPr>
    </w:tblStylePr>
    <w:tblStylePr w:type="firstCol">
      <w:rPr>
        <w:rFonts w:ascii="Arial" w:hAnsi="Arial"/>
        <w:color w:val="F2F2F2"/>
        <w:sz w:val="22"/>
      </w:rPr>
      <w:tblPr/>
      <w:tcPr>
        <w:shd w:val="clear" w:color="48EDFF" w:themeColor="accent4" w:themeTint="9A" w:fill="48EDFF" w:themeFill="accent4" w:themeFillTint="9A"/>
      </w:tcPr>
    </w:tblStylePr>
    <w:tblStylePr w:type="lastCol">
      <w:rPr>
        <w:rFonts w:ascii="Arial" w:hAnsi="Arial"/>
        <w:color w:val="F2F2F2"/>
        <w:sz w:val="22"/>
      </w:rPr>
      <w:tblPr/>
      <w:tcPr>
        <w:shd w:val="clear" w:color="48EDFF" w:themeColor="accent4" w:themeTint="9A" w:fill="48ED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1F8FF" w:themeColor="accent4" w:themeTint="34" w:fill="C1F8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1F8FF" w:themeColor="accent4" w:themeTint="34" w:fill="C1F8FF"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6787C4" w:themeColor="accent5" w:fill="6787C4" w:themeFill="accent5"/>
      </w:tcPr>
    </w:tblStylePr>
    <w:tblStylePr w:type="lastRow">
      <w:rPr>
        <w:rFonts w:ascii="Arial" w:hAnsi="Arial"/>
        <w:color w:val="F2F2F2"/>
        <w:sz w:val="22"/>
      </w:rPr>
      <w:tblPr/>
      <w:tcPr>
        <w:shd w:val="clear" w:color="6787C4" w:themeColor="accent5" w:fill="6787C4" w:themeFill="accent5"/>
      </w:tcPr>
    </w:tblStylePr>
    <w:tblStylePr w:type="firstCol">
      <w:rPr>
        <w:rFonts w:ascii="Arial" w:hAnsi="Arial"/>
        <w:color w:val="F2F2F2"/>
        <w:sz w:val="22"/>
      </w:rPr>
      <w:tblPr/>
      <w:tcPr>
        <w:shd w:val="clear" w:color="6787C4" w:themeColor="accent5" w:fill="6787C4" w:themeFill="accent5"/>
      </w:tcPr>
    </w:tblStylePr>
    <w:tblStylePr w:type="lastCol">
      <w:rPr>
        <w:rFonts w:ascii="Arial" w:hAnsi="Arial"/>
        <w:color w:val="F2F2F2"/>
        <w:sz w:val="22"/>
      </w:rPr>
      <w:tblPr/>
      <w:tcPr>
        <w:shd w:val="clear" w:color="6787C4" w:themeColor="accent5" w:fill="6787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FE6F3" w:themeColor="accent5" w:themeTint="34" w:fill="DFE6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FE6F3" w:themeColor="accent5" w:themeTint="34" w:fill="DFE6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GB" w:eastAsia="en-GB"/>
    </w:rPr>
    <w:tblPr>
      <w:tblStyleRowBandSize w:val="1"/>
      <w:tblStyleColBandSize w:val="1"/>
    </w:tblPr>
    <w:tblStylePr w:type="firstRow">
      <w:rPr>
        <w:rFonts w:ascii="Arial" w:hAnsi="Arial"/>
        <w:color w:val="F2F2F2"/>
        <w:sz w:val="22"/>
      </w:rPr>
      <w:tblPr/>
      <w:tcPr>
        <w:shd w:val="clear" w:color="99509A" w:themeColor="accent6" w:fill="99509A" w:themeFill="accent6"/>
      </w:tcPr>
    </w:tblStylePr>
    <w:tblStylePr w:type="lastRow">
      <w:rPr>
        <w:rFonts w:ascii="Arial" w:hAnsi="Arial"/>
        <w:color w:val="F2F2F2"/>
        <w:sz w:val="22"/>
      </w:rPr>
      <w:tblPr/>
      <w:tcPr>
        <w:shd w:val="clear" w:color="99509A" w:themeColor="accent6" w:fill="99509A" w:themeFill="accent6"/>
      </w:tcPr>
    </w:tblStylePr>
    <w:tblStylePr w:type="firstCol">
      <w:rPr>
        <w:rFonts w:ascii="Arial" w:hAnsi="Arial"/>
        <w:color w:val="F2F2F2"/>
        <w:sz w:val="22"/>
      </w:rPr>
      <w:tblPr/>
      <w:tcPr>
        <w:shd w:val="clear" w:color="99509A" w:themeColor="accent6" w:fill="99509A" w:themeFill="accent6"/>
      </w:tcPr>
    </w:tblStylePr>
    <w:tblStylePr w:type="lastCol">
      <w:rPr>
        <w:rFonts w:ascii="Arial" w:hAnsi="Arial"/>
        <w:color w:val="F2F2F2"/>
        <w:sz w:val="22"/>
      </w:rPr>
      <w:tblPr/>
      <w:tcPr>
        <w:shd w:val="clear" w:color="99509A" w:themeColor="accent6" w:fill="99509A"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BD9EB" w:themeColor="accent6" w:themeTint="34" w:fill="EBD9EB"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BD9EB" w:themeColor="accent6" w:themeTint="34" w:fill="EBD9EB"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003151" w:themeColor="accent1" w:themeShade="95"/>
        <w:left w:val="single" w:sz="4" w:space="0" w:color="003151" w:themeColor="accent1" w:themeShade="95"/>
        <w:bottom w:val="single" w:sz="4" w:space="0" w:color="003151" w:themeColor="accent1" w:themeShade="95"/>
        <w:right w:val="single" w:sz="4" w:space="0" w:color="003151" w:themeColor="accent1" w:themeShade="95"/>
        <w:insideH w:val="single" w:sz="4" w:space="0" w:color="003151" w:themeColor="accent1" w:themeShade="95"/>
        <w:insideV w:val="single" w:sz="4" w:space="0" w:color="003151" w:themeColor="accent1" w:themeShade="95"/>
      </w:tblBorders>
    </w:tblPr>
    <w:tblStylePr w:type="firstRow">
      <w:rPr>
        <w:rFonts w:ascii="Arial" w:hAnsi="Arial"/>
        <w:color w:val="F2F2F2"/>
        <w:sz w:val="22"/>
      </w:rPr>
      <w:tblPr/>
      <w:tcPr>
        <w:shd w:val="clear" w:color="0066AA" w:themeColor="accent1" w:themeTint="EA" w:fill="0066AA" w:themeFill="accent1" w:themeFillTint="EA"/>
      </w:tcPr>
    </w:tblStylePr>
    <w:tblStylePr w:type="lastRow">
      <w:rPr>
        <w:rFonts w:ascii="Arial" w:hAnsi="Arial"/>
        <w:color w:val="F2F2F2"/>
        <w:sz w:val="22"/>
      </w:rPr>
      <w:tblPr/>
      <w:tcPr>
        <w:shd w:val="clear" w:color="0066AA" w:themeColor="accent1" w:themeTint="EA" w:fill="0066AA" w:themeFill="accent1" w:themeFillTint="EA"/>
      </w:tcPr>
    </w:tblStylePr>
    <w:tblStylePr w:type="firstCol">
      <w:rPr>
        <w:rFonts w:ascii="Arial" w:hAnsi="Arial"/>
        <w:color w:val="F2F2F2"/>
        <w:sz w:val="22"/>
      </w:rPr>
      <w:tblPr/>
      <w:tcPr>
        <w:shd w:val="clear" w:color="0066AA" w:themeColor="accent1" w:themeTint="EA" w:fill="0066AA" w:themeFill="accent1" w:themeFillTint="EA"/>
      </w:tcPr>
    </w:tblStylePr>
    <w:tblStylePr w:type="lastCol">
      <w:rPr>
        <w:rFonts w:ascii="Arial" w:hAnsi="Arial"/>
        <w:color w:val="F2F2F2"/>
        <w:sz w:val="22"/>
      </w:rPr>
      <w:tblPr/>
      <w:tcPr>
        <w:shd w:val="clear" w:color="0066AA" w:themeColor="accent1" w:themeTint="EA" w:fill="0066AA"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AD0FF" w:themeColor="accent1" w:themeTint="50" w:fill="8AD0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AD0FF" w:themeColor="accent1" w:themeTint="50" w:fill="8AD0FF"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005C84" w:themeColor="accent2" w:themeShade="95"/>
        <w:left w:val="single" w:sz="4" w:space="0" w:color="005C84" w:themeColor="accent2" w:themeShade="95"/>
        <w:bottom w:val="single" w:sz="4" w:space="0" w:color="005C84" w:themeColor="accent2" w:themeShade="95"/>
        <w:right w:val="single" w:sz="4" w:space="0" w:color="005C84" w:themeColor="accent2" w:themeShade="95"/>
        <w:insideH w:val="single" w:sz="4" w:space="0" w:color="005C84" w:themeColor="accent2" w:themeShade="95"/>
        <w:insideV w:val="single" w:sz="4" w:space="0" w:color="005C84" w:themeColor="accent2" w:themeShade="95"/>
      </w:tblBorders>
    </w:tblPr>
    <w:tblStylePr w:type="firstRow">
      <w:rPr>
        <w:rFonts w:ascii="Arial" w:hAnsi="Arial"/>
        <w:color w:val="F2F2F2"/>
        <w:sz w:val="22"/>
      </w:rPr>
      <w:tblPr/>
      <w:tcPr>
        <w:shd w:val="clear" w:color="57CCFF" w:themeColor="accent2" w:themeTint="97" w:fill="57CCFF" w:themeFill="accent2" w:themeFillTint="97"/>
      </w:tcPr>
    </w:tblStylePr>
    <w:tblStylePr w:type="lastRow">
      <w:rPr>
        <w:rFonts w:ascii="Arial" w:hAnsi="Arial"/>
        <w:color w:val="F2F2F2"/>
        <w:sz w:val="22"/>
      </w:rPr>
      <w:tblPr/>
      <w:tcPr>
        <w:shd w:val="clear" w:color="57CCFF" w:themeColor="accent2" w:themeTint="97" w:fill="57CCFF" w:themeFill="accent2" w:themeFillTint="97"/>
      </w:tcPr>
    </w:tblStylePr>
    <w:tblStylePr w:type="firstCol">
      <w:rPr>
        <w:rFonts w:ascii="Arial" w:hAnsi="Arial"/>
        <w:color w:val="F2F2F2"/>
        <w:sz w:val="22"/>
      </w:rPr>
      <w:tblPr/>
      <w:tcPr>
        <w:shd w:val="clear" w:color="57CCFF" w:themeColor="accent2" w:themeTint="97" w:fill="57CCFF" w:themeFill="accent2" w:themeFillTint="97"/>
      </w:tcPr>
    </w:tblStylePr>
    <w:tblStylePr w:type="lastCol">
      <w:rPr>
        <w:rFonts w:ascii="Arial" w:hAnsi="Arial"/>
        <w:color w:val="F2F2F2"/>
        <w:sz w:val="22"/>
      </w:rPr>
      <w:tblPr/>
      <w:tcPr>
        <w:shd w:val="clear" w:color="57CCFF" w:themeColor="accent2" w:themeTint="97" w:fill="57CCFF"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C7EEFF" w:themeColor="accent2" w:themeTint="32" w:fill="C7EEFF"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C7EEFF" w:themeColor="accent2" w:themeTint="32" w:fill="C7EEFF"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006662" w:themeColor="accent3" w:themeShade="95"/>
        <w:left w:val="single" w:sz="4" w:space="0" w:color="006662" w:themeColor="accent3" w:themeShade="95"/>
        <w:bottom w:val="single" w:sz="4" w:space="0" w:color="006662" w:themeColor="accent3" w:themeShade="95"/>
        <w:right w:val="single" w:sz="4" w:space="0" w:color="006662" w:themeColor="accent3" w:themeShade="95"/>
        <w:insideH w:val="single" w:sz="4" w:space="0" w:color="006662" w:themeColor="accent3" w:themeShade="95"/>
        <w:insideV w:val="single" w:sz="4" w:space="0" w:color="006662" w:themeColor="accent3" w:themeShade="95"/>
      </w:tblBorders>
    </w:tblPr>
    <w:tblStylePr w:type="firstRow">
      <w:rPr>
        <w:rFonts w:ascii="Arial" w:hAnsi="Arial"/>
        <w:color w:val="F2F2F2"/>
        <w:sz w:val="22"/>
      </w:rPr>
      <w:tblPr/>
      <w:tcPr>
        <w:shd w:val="clear" w:color="00B1A9" w:themeColor="accent3" w:themeTint="FE" w:fill="00B1A9" w:themeFill="accent3" w:themeFillTint="FE"/>
      </w:tcPr>
    </w:tblStylePr>
    <w:tblStylePr w:type="lastRow">
      <w:rPr>
        <w:rFonts w:ascii="Arial" w:hAnsi="Arial"/>
        <w:color w:val="F2F2F2"/>
        <w:sz w:val="22"/>
      </w:rPr>
      <w:tblPr/>
      <w:tcPr>
        <w:shd w:val="clear" w:color="00B1A9" w:themeColor="accent3" w:themeTint="FE" w:fill="00B1A9" w:themeFill="accent3" w:themeFillTint="FE"/>
      </w:tcPr>
    </w:tblStylePr>
    <w:tblStylePr w:type="firstCol">
      <w:rPr>
        <w:rFonts w:ascii="Arial" w:hAnsi="Arial"/>
        <w:color w:val="F2F2F2"/>
        <w:sz w:val="22"/>
      </w:rPr>
      <w:tblPr/>
      <w:tcPr>
        <w:shd w:val="clear" w:color="00B1A9" w:themeColor="accent3" w:themeTint="FE" w:fill="00B1A9" w:themeFill="accent3" w:themeFillTint="FE"/>
      </w:tcPr>
    </w:tblStylePr>
    <w:tblStylePr w:type="lastCol">
      <w:rPr>
        <w:rFonts w:ascii="Arial" w:hAnsi="Arial"/>
        <w:color w:val="F2F2F2"/>
        <w:sz w:val="22"/>
      </w:rPr>
      <w:tblPr/>
      <w:tcPr>
        <w:shd w:val="clear" w:color="00B1A9" w:themeColor="accent3" w:themeTint="FE" w:fill="00B1A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AFFFC" w:themeColor="accent3" w:themeTint="34" w:fill="BAFFF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AFFFC" w:themeColor="accent3" w:themeTint="34" w:fill="BAFFF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006D79" w:themeColor="accent4" w:themeShade="95"/>
        <w:left w:val="single" w:sz="4" w:space="0" w:color="006D79" w:themeColor="accent4" w:themeShade="95"/>
        <w:bottom w:val="single" w:sz="4" w:space="0" w:color="006D79" w:themeColor="accent4" w:themeShade="95"/>
        <w:right w:val="single" w:sz="4" w:space="0" w:color="006D79" w:themeColor="accent4" w:themeShade="95"/>
        <w:insideH w:val="single" w:sz="4" w:space="0" w:color="006D79" w:themeColor="accent4" w:themeShade="95"/>
        <w:insideV w:val="single" w:sz="4" w:space="0" w:color="006D79" w:themeColor="accent4" w:themeShade="95"/>
      </w:tblBorders>
    </w:tblPr>
    <w:tblStylePr w:type="firstRow">
      <w:rPr>
        <w:rFonts w:ascii="Arial" w:hAnsi="Arial"/>
        <w:color w:val="F2F2F2"/>
        <w:sz w:val="22"/>
      </w:rPr>
      <w:tblPr/>
      <w:tcPr>
        <w:shd w:val="clear" w:color="48EDFF" w:themeColor="accent4" w:themeTint="9A" w:fill="48EDFF" w:themeFill="accent4" w:themeFillTint="9A"/>
      </w:tcPr>
    </w:tblStylePr>
    <w:tblStylePr w:type="lastRow">
      <w:rPr>
        <w:rFonts w:ascii="Arial" w:hAnsi="Arial"/>
        <w:color w:val="F2F2F2"/>
        <w:sz w:val="22"/>
      </w:rPr>
      <w:tblPr/>
      <w:tcPr>
        <w:shd w:val="clear" w:color="48EDFF" w:themeColor="accent4" w:themeTint="9A" w:fill="48EDFF" w:themeFill="accent4" w:themeFillTint="9A"/>
      </w:tcPr>
    </w:tblStylePr>
    <w:tblStylePr w:type="firstCol">
      <w:rPr>
        <w:rFonts w:ascii="Arial" w:hAnsi="Arial"/>
        <w:color w:val="F2F2F2"/>
        <w:sz w:val="22"/>
      </w:rPr>
      <w:tblPr/>
      <w:tcPr>
        <w:shd w:val="clear" w:color="48EDFF" w:themeColor="accent4" w:themeTint="9A" w:fill="48EDFF" w:themeFill="accent4" w:themeFillTint="9A"/>
      </w:tcPr>
    </w:tblStylePr>
    <w:tblStylePr w:type="lastCol">
      <w:rPr>
        <w:rFonts w:ascii="Arial" w:hAnsi="Arial"/>
        <w:color w:val="F2F2F2"/>
        <w:sz w:val="22"/>
      </w:rPr>
      <w:tblPr/>
      <w:tcPr>
        <w:shd w:val="clear" w:color="48EDFF" w:themeColor="accent4" w:themeTint="9A" w:fill="48ED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1F8FF" w:themeColor="accent4" w:themeTint="34" w:fill="C1F8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1F8FF" w:themeColor="accent4" w:themeTint="34" w:fill="C1F8FF"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314B7D" w:themeColor="accent5" w:themeShade="95"/>
        <w:left w:val="single" w:sz="4" w:space="0" w:color="314B7D" w:themeColor="accent5" w:themeShade="95"/>
        <w:bottom w:val="single" w:sz="4" w:space="0" w:color="314B7D" w:themeColor="accent5" w:themeShade="95"/>
        <w:right w:val="single" w:sz="4" w:space="0" w:color="314B7D" w:themeColor="accent5" w:themeShade="95"/>
        <w:insideH w:val="single" w:sz="4" w:space="0" w:color="314B7D" w:themeColor="accent5" w:themeShade="95"/>
        <w:insideV w:val="single" w:sz="4" w:space="0" w:color="314B7D" w:themeColor="accent5" w:themeShade="95"/>
      </w:tblBorders>
    </w:tblPr>
    <w:tblStylePr w:type="firstRow">
      <w:rPr>
        <w:rFonts w:ascii="Arial" w:hAnsi="Arial"/>
        <w:color w:val="F2F2F2"/>
        <w:sz w:val="22"/>
      </w:rPr>
      <w:tblPr/>
      <w:tcPr>
        <w:shd w:val="clear" w:color="6787C4" w:themeColor="accent5" w:fill="6787C4" w:themeFill="accent5"/>
      </w:tcPr>
    </w:tblStylePr>
    <w:tblStylePr w:type="lastRow">
      <w:rPr>
        <w:rFonts w:ascii="Arial" w:hAnsi="Arial"/>
        <w:color w:val="F2F2F2"/>
        <w:sz w:val="22"/>
      </w:rPr>
      <w:tblPr/>
      <w:tcPr>
        <w:shd w:val="clear" w:color="6787C4" w:themeColor="accent5" w:fill="6787C4" w:themeFill="accent5"/>
      </w:tcPr>
    </w:tblStylePr>
    <w:tblStylePr w:type="firstCol">
      <w:rPr>
        <w:rFonts w:ascii="Arial" w:hAnsi="Arial"/>
        <w:color w:val="F2F2F2"/>
        <w:sz w:val="22"/>
      </w:rPr>
      <w:tblPr/>
      <w:tcPr>
        <w:shd w:val="clear" w:color="6787C4" w:themeColor="accent5" w:fill="6787C4" w:themeFill="accent5"/>
      </w:tcPr>
    </w:tblStylePr>
    <w:tblStylePr w:type="lastCol">
      <w:rPr>
        <w:rFonts w:ascii="Arial" w:hAnsi="Arial"/>
        <w:color w:val="F2F2F2"/>
        <w:sz w:val="22"/>
      </w:rPr>
      <w:tblPr/>
      <w:tcPr>
        <w:shd w:val="clear" w:color="6787C4" w:themeColor="accent5" w:fill="6787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FE6F3" w:themeColor="accent5" w:themeTint="34" w:fill="DFE6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FE6F3" w:themeColor="accent5" w:themeTint="34" w:fill="DFE6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GB" w:eastAsia="en-GB"/>
    </w:rPr>
    <w:tblPr>
      <w:tblStyleRowBandSize w:val="1"/>
      <w:tblStyleColBandSize w:val="1"/>
      <w:tblBorders>
        <w:top w:val="single" w:sz="4" w:space="0" w:color="592E59" w:themeColor="accent6" w:themeShade="95"/>
        <w:left w:val="single" w:sz="4" w:space="0" w:color="592E59" w:themeColor="accent6" w:themeShade="95"/>
        <w:bottom w:val="single" w:sz="4" w:space="0" w:color="592E59" w:themeColor="accent6" w:themeShade="95"/>
        <w:right w:val="single" w:sz="4" w:space="0" w:color="592E59" w:themeColor="accent6" w:themeShade="95"/>
        <w:insideH w:val="single" w:sz="4" w:space="0" w:color="592E59" w:themeColor="accent6" w:themeShade="95"/>
        <w:insideV w:val="single" w:sz="4" w:space="0" w:color="592E59" w:themeColor="accent6" w:themeShade="95"/>
      </w:tblBorders>
    </w:tblPr>
    <w:tblStylePr w:type="firstRow">
      <w:rPr>
        <w:rFonts w:ascii="Arial" w:hAnsi="Arial"/>
        <w:color w:val="F2F2F2"/>
        <w:sz w:val="22"/>
      </w:rPr>
      <w:tblPr/>
      <w:tcPr>
        <w:shd w:val="clear" w:color="99509A" w:themeColor="accent6" w:fill="99509A" w:themeFill="accent6"/>
      </w:tcPr>
    </w:tblStylePr>
    <w:tblStylePr w:type="lastRow">
      <w:rPr>
        <w:rFonts w:ascii="Arial" w:hAnsi="Arial"/>
        <w:color w:val="F2F2F2"/>
        <w:sz w:val="22"/>
      </w:rPr>
      <w:tblPr/>
      <w:tcPr>
        <w:shd w:val="clear" w:color="99509A" w:themeColor="accent6" w:fill="99509A" w:themeFill="accent6"/>
      </w:tcPr>
    </w:tblStylePr>
    <w:tblStylePr w:type="firstCol">
      <w:rPr>
        <w:rFonts w:ascii="Arial" w:hAnsi="Arial"/>
        <w:color w:val="F2F2F2"/>
        <w:sz w:val="22"/>
      </w:rPr>
      <w:tblPr/>
      <w:tcPr>
        <w:shd w:val="clear" w:color="99509A" w:themeColor="accent6" w:fill="99509A" w:themeFill="accent6"/>
      </w:tcPr>
    </w:tblStylePr>
    <w:tblStylePr w:type="lastCol">
      <w:rPr>
        <w:rFonts w:ascii="Arial" w:hAnsi="Arial"/>
        <w:color w:val="F2F2F2"/>
        <w:sz w:val="22"/>
      </w:rPr>
      <w:tblPr/>
      <w:tcPr>
        <w:shd w:val="clear" w:color="99509A" w:themeColor="accent6" w:fill="99509A"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BD9EB" w:themeColor="accent6" w:themeTint="34" w:fill="EBD9EB"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BD9EB" w:themeColor="accent6" w:themeTint="34" w:fill="EBD9EB"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69C3FF" w:themeColor="accent1" w:themeTint="67"/>
        <w:left w:val="single" w:sz="4" w:space="0" w:color="69C3FF" w:themeColor="accent1" w:themeTint="67"/>
        <w:bottom w:val="single" w:sz="4" w:space="0" w:color="69C3FF" w:themeColor="accent1" w:themeTint="67"/>
        <w:right w:val="single" w:sz="4" w:space="0" w:color="69C3FF" w:themeColor="accent1" w:themeTint="67"/>
        <w:insideH w:val="single" w:sz="4" w:space="0" w:color="69C3FF" w:themeColor="accent1" w:themeTint="67"/>
        <w:insideV w:val="single" w:sz="4" w:space="0" w:color="69C3FF" w:themeColor="accent1" w:themeTint="67"/>
      </w:tblBorders>
    </w:tblPr>
    <w:tblStylePr w:type="firstRow">
      <w:rPr>
        <w:rFonts w:ascii="Arial" w:hAnsi="Arial"/>
        <w:color w:val="404040"/>
        <w:sz w:val="22"/>
      </w:rPr>
      <w:tblPr/>
      <w:tcPr>
        <w:tcBorders>
          <w:bottom w:val="single" w:sz="12" w:space="0" w:color="00558C" w:themeColor="accent1"/>
        </w:tcBorders>
      </w:tcPr>
    </w:tblStylePr>
    <w:tblStylePr w:type="lastRow">
      <w:rPr>
        <w:rFonts w:ascii="Arial" w:hAnsi="Arial"/>
        <w:color w:val="404040"/>
        <w:sz w:val="22"/>
      </w:rPr>
      <w:tblPr/>
      <w:tcPr>
        <w:tcBorders>
          <w:top w:val="single" w:sz="12" w:space="0" w:color="00558C"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558C" w:themeColor="accent1"/>
        </w:tcBorders>
      </w:tcPr>
    </w:tblStylePr>
    <w:tblStylePr w:type="band1Horz">
      <w:rPr>
        <w:rFonts w:ascii="Arial" w:hAnsi="Arial"/>
        <w:color w:val="404040"/>
        <w:sz w:val="22"/>
      </w:rPr>
      <w:tblPr/>
      <w:tcPr>
        <w:tcBorders>
          <w:top w:val="single" w:sz="4" w:space="0" w:color="69C3FF" w:themeColor="accent1" w:themeTint="67"/>
          <w:left w:val="single" w:sz="4" w:space="0" w:color="69C3FF" w:themeColor="accent1" w:themeTint="67"/>
          <w:bottom w:val="single" w:sz="4" w:space="0" w:color="69C3FF" w:themeColor="accent1" w:themeTint="67"/>
          <w:right w:val="single" w:sz="4" w:space="0" w:color="69C3FF"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8CDCFF" w:themeColor="accent2" w:themeTint="67"/>
        <w:left w:val="single" w:sz="4" w:space="0" w:color="8CDCFF" w:themeColor="accent2" w:themeTint="67"/>
        <w:bottom w:val="single" w:sz="4" w:space="0" w:color="8CDCFF" w:themeColor="accent2" w:themeTint="67"/>
        <w:right w:val="single" w:sz="4" w:space="0" w:color="8CDCFF" w:themeColor="accent2" w:themeTint="67"/>
        <w:insideH w:val="single" w:sz="4" w:space="0" w:color="8CDCFF" w:themeColor="accent2" w:themeTint="67"/>
        <w:insideV w:val="single" w:sz="4" w:space="0" w:color="8CDCFF" w:themeColor="accent2" w:themeTint="67"/>
      </w:tblBorders>
    </w:tblPr>
    <w:tblStylePr w:type="firstRow">
      <w:rPr>
        <w:rFonts w:ascii="Arial" w:hAnsi="Arial"/>
        <w:color w:val="404040"/>
        <w:sz w:val="22"/>
      </w:rPr>
      <w:tblPr/>
      <w:tcPr>
        <w:tcBorders>
          <w:bottom w:val="single" w:sz="12" w:space="0" w:color="57CCFF" w:themeColor="accent2" w:themeTint="97"/>
        </w:tcBorders>
      </w:tcPr>
    </w:tblStylePr>
    <w:tblStylePr w:type="lastRow">
      <w:rPr>
        <w:rFonts w:ascii="Arial" w:hAnsi="Arial"/>
        <w:color w:val="404040"/>
        <w:sz w:val="22"/>
      </w:rPr>
      <w:tblPr/>
      <w:tcPr>
        <w:tcBorders>
          <w:top w:val="single" w:sz="12" w:space="0" w:color="57CCFF"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7CCFF" w:themeColor="accent2" w:themeTint="97"/>
        </w:tcBorders>
      </w:tcPr>
    </w:tblStylePr>
    <w:tblStylePr w:type="band1Horz">
      <w:rPr>
        <w:rFonts w:ascii="Arial" w:hAnsi="Arial"/>
        <w:color w:val="404040"/>
        <w:sz w:val="22"/>
      </w:rPr>
      <w:tblPr/>
      <w:tcPr>
        <w:tcBorders>
          <w:top w:val="single" w:sz="4" w:space="0" w:color="8CDCFF" w:themeColor="accent2" w:themeTint="67"/>
          <w:left w:val="single" w:sz="4" w:space="0" w:color="8CDCFF" w:themeColor="accent2" w:themeTint="67"/>
          <w:bottom w:val="single" w:sz="4" w:space="0" w:color="8CDCFF" w:themeColor="accent2" w:themeTint="67"/>
          <w:right w:val="single" w:sz="4" w:space="0" w:color="8CDCFF"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78FFF9" w:themeColor="accent3" w:themeTint="67"/>
        <w:left w:val="single" w:sz="4" w:space="0" w:color="78FFF9" w:themeColor="accent3" w:themeTint="67"/>
        <w:bottom w:val="single" w:sz="4" w:space="0" w:color="78FFF9" w:themeColor="accent3" w:themeTint="67"/>
        <w:right w:val="single" w:sz="4" w:space="0" w:color="78FFF9" w:themeColor="accent3" w:themeTint="67"/>
        <w:insideH w:val="single" w:sz="4" w:space="0" w:color="78FFF9" w:themeColor="accent3" w:themeTint="67"/>
        <w:insideV w:val="single" w:sz="4" w:space="0" w:color="78FFF9" w:themeColor="accent3" w:themeTint="67"/>
      </w:tblBorders>
    </w:tblPr>
    <w:tblStylePr w:type="firstRow">
      <w:rPr>
        <w:rFonts w:ascii="Arial" w:hAnsi="Arial"/>
        <w:color w:val="404040"/>
        <w:sz w:val="22"/>
      </w:rPr>
      <w:tblPr/>
      <w:tcPr>
        <w:tcBorders>
          <w:bottom w:val="single" w:sz="12" w:space="0" w:color="37FFF6" w:themeColor="accent3" w:themeTint="98"/>
        </w:tcBorders>
      </w:tcPr>
    </w:tblStylePr>
    <w:tblStylePr w:type="lastRow">
      <w:rPr>
        <w:rFonts w:ascii="Arial" w:hAnsi="Arial"/>
        <w:color w:val="404040"/>
        <w:sz w:val="22"/>
      </w:rPr>
      <w:tblPr/>
      <w:tcPr>
        <w:tcBorders>
          <w:top w:val="single" w:sz="12" w:space="0" w:color="37FFF6"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7FFF6" w:themeColor="accent3" w:themeTint="98"/>
        </w:tcBorders>
      </w:tcPr>
    </w:tblStylePr>
    <w:tblStylePr w:type="band1Horz">
      <w:rPr>
        <w:rFonts w:ascii="Arial" w:hAnsi="Arial"/>
        <w:color w:val="404040"/>
        <w:sz w:val="22"/>
      </w:rPr>
      <w:tblPr/>
      <w:tcPr>
        <w:tcBorders>
          <w:top w:val="single" w:sz="4" w:space="0" w:color="78FFF9" w:themeColor="accent3" w:themeTint="67"/>
          <w:left w:val="single" w:sz="4" w:space="0" w:color="78FFF9" w:themeColor="accent3" w:themeTint="67"/>
          <w:bottom w:val="single" w:sz="4" w:space="0" w:color="78FFF9" w:themeColor="accent3" w:themeTint="67"/>
          <w:right w:val="single" w:sz="4" w:space="0" w:color="78FFF9"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85F3FF" w:themeColor="accent4" w:themeTint="67"/>
        <w:left w:val="single" w:sz="4" w:space="0" w:color="85F3FF" w:themeColor="accent4" w:themeTint="67"/>
        <w:bottom w:val="single" w:sz="4" w:space="0" w:color="85F3FF" w:themeColor="accent4" w:themeTint="67"/>
        <w:right w:val="single" w:sz="4" w:space="0" w:color="85F3FF" w:themeColor="accent4" w:themeTint="67"/>
        <w:insideH w:val="single" w:sz="4" w:space="0" w:color="85F3FF" w:themeColor="accent4" w:themeTint="67"/>
        <w:insideV w:val="single" w:sz="4" w:space="0" w:color="85F3FF" w:themeColor="accent4" w:themeTint="67"/>
      </w:tblBorders>
    </w:tblPr>
    <w:tblStylePr w:type="firstRow">
      <w:rPr>
        <w:rFonts w:ascii="Arial" w:hAnsi="Arial"/>
        <w:color w:val="404040"/>
        <w:sz w:val="22"/>
      </w:rPr>
      <w:tblPr/>
      <w:tcPr>
        <w:tcBorders>
          <w:bottom w:val="single" w:sz="12" w:space="0" w:color="48EDFF" w:themeColor="accent4" w:themeTint="9A"/>
        </w:tcBorders>
      </w:tcPr>
    </w:tblStylePr>
    <w:tblStylePr w:type="lastRow">
      <w:rPr>
        <w:rFonts w:ascii="Arial" w:hAnsi="Arial"/>
        <w:color w:val="404040"/>
        <w:sz w:val="22"/>
      </w:rPr>
      <w:tblPr/>
      <w:tcPr>
        <w:tcBorders>
          <w:top w:val="single" w:sz="12" w:space="0" w:color="48ED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EDFF" w:themeColor="accent4" w:themeTint="9A"/>
        </w:tcBorders>
      </w:tcPr>
    </w:tblStylePr>
    <w:tblStylePr w:type="band1Horz">
      <w:rPr>
        <w:rFonts w:ascii="Arial" w:hAnsi="Arial"/>
        <w:color w:val="404040"/>
        <w:sz w:val="22"/>
      </w:rPr>
      <w:tblPr/>
      <w:tcPr>
        <w:tcBorders>
          <w:top w:val="single" w:sz="4" w:space="0" w:color="85F3FF" w:themeColor="accent4" w:themeTint="67"/>
          <w:left w:val="single" w:sz="4" w:space="0" w:color="85F3FF" w:themeColor="accent4" w:themeTint="67"/>
          <w:bottom w:val="single" w:sz="4" w:space="0" w:color="85F3FF" w:themeColor="accent4" w:themeTint="67"/>
          <w:right w:val="single" w:sz="4" w:space="0" w:color="85F3FF"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C1CEE7" w:themeColor="accent5" w:themeTint="67"/>
        <w:left w:val="single" w:sz="4" w:space="0" w:color="C1CEE7" w:themeColor="accent5" w:themeTint="67"/>
        <w:bottom w:val="single" w:sz="4" w:space="0" w:color="C1CEE7" w:themeColor="accent5" w:themeTint="67"/>
        <w:right w:val="single" w:sz="4" w:space="0" w:color="C1CEE7" w:themeColor="accent5" w:themeTint="67"/>
        <w:insideH w:val="single" w:sz="4" w:space="0" w:color="C1CEE7" w:themeColor="accent5" w:themeTint="67"/>
        <w:insideV w:val="single" w:sz="4" w:space="0" w:color="C1CEE7" w:themeColor="accent5" w:themeTint="67"/>
      </w:tblBorders>
    </w:tblPr>
    <w:tblStylePr w:type="firstRow">
      <w:rPr>
        <w:rFonts w:ascii="Arial" w:hAnsi="Arial"/>
        <w:color w:val="404040"/>
        <w:sz w:val="22"/>
      </w:rPr>
      <w:tblPr/>
      <w:tcPr>
        <w:tcBorders>
          <w:bottom w:val="single" w:sz="12" w:space="0" w:color="A3B6DB" w:themeColor="accent5" w:themeTint="9A"/>
        </w:tcBorders>
      </w:tcPr>
    </w:tblStylePr>
    <w:tblStylePr w:type="lastRow">
      <w:rPr>
        <w:rFonts w:ascii="Arial" w:hAnsi="Arial"/>
        <w:color w:val="404040"/>
        <w:sz w:val="22"/>
      </w:rPr>
      <w:tblPr/>
      <w:tcPr>
        <w:tcBorders>
          <w:top w:val="single" w:sz="12" w:space="0" w:color="A3B6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3B6DB" w:themeColor="accent5" w:themeTint="9A"/>
        </w:tcBorders>
      </w:tcPr>
    </w:tblStylePr>
    <w:tblStylePr w:type="band1Horz">
      <w:rPr>
        <w:rFonts w:ascii="Arial" w:hAnsi="Arial"/>
        <w:color w:val="404040"/>
        <w:sz w:val="22"/>
      </w:rPr>
      <w:tblPr/>
      <w:tcPr>
        <w:tcBorders>
          <w:top w:val="single" w:sz="4" w:space="0" w:color="C1CEE7" w:themeColor="accent5" w:themeTint="67"/>
          <w:left w:val="single" w:sz="4" w:space="0" w:color="C1CEE7" w:themeColor="accent5" w:themeTint="67"/>
          <w:bottom w:val="single" w:sz="4" w:space="0" w:color="C1CEE7" w:themeColor="accent5" w:themeTint="67"/>
          <w:right w:val="single" w:sz="4" w:space="0" w:color="C1CE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D8B5D8" w:themeColor="accent6" w:themeTint="67"/>
        <w:left w:val="single" w:sz="4" w:space="0" w:color="D8B5D8" w:themeColor="accent6" w:themeTint="67"/>
        <w:bottom w:val="single" w:sz="4" w:space="0" w:color="D8B5D8" w:themeColor="accent6" w:themeTint="67"/>
        <w:right w:val="single" w:sz="4" w:space="0" w:color="D8B5D8" w:themeColor="accent6" w:themeTint="67"/>
        <w:insideH w:val="single" w:sz="4" w:space="0" w:color="D8B5D8" w:themeColor="accent6" w:themeTint="67"/>
        <w:insideV w:val="single" w:sz="4" w:space="0" w:color="D8B5D8" w:themeColor="accent6" w:themeTint="67"/>
      </w:tblBorders>
    </w:tblPr>
    <w:tblStylePr w:type="firstRow">
      <w:rPr>
        <w:rFonts w:ascii="Arial" w:hAnsi="Arial"/>
        <w:color w:val="404040"/>
        <w:sz w:val="22"/>
      </w:rPr>
      <w:tblPr/>
      <w:tcPr>
        <w:tcBorders>
          <w:bottom w:val="single" w:sz="12" w:space="0" w:color="C592C6" w:themeColor="accent6" w:themeTint="98"/>
        </w:tcBorders>
      </w:tcPr>
    </w:tblStylePr>
    <w:tblStylePr w:type="lastRow">
      <w:rPr>
        <w:rFonts w:ascii="Arial" w:hAnsi="Arial"/>
        <w:color w:val="404040"/>
        <w:sz w:val="22"/>
      </w:rPr>
      <w:tblPr/>
      <w:tcPr>
        <w:tcBorders>
          <w:top w:val="single" w:sz="12" w:space="0" w:color="C592C6"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592C6" w:themeColor="accent6" w:themeTint="98"/>
        </w:tcBorders>
      </w:tcPr>
    </w:tblStylePr>
    <w:tblStylePr w:type="band1Horz">
      <w:rPr>
        <w:rFonts w:ascii="Arial" w:hAnsi="Arial"/>
        <w:color w:val="404040"/>
        <w:sz w:val="22"/>
      </w:rPr>
      <w:tblPr/>
      <w:tcPr>
        <w:tcBorders>
          <w:top w:val="single" w:sz="4" w:space="0" w:color="D8B5D8" w:themeColor="accent6" w:themeTint="67"/>
          <w:left w:val="single" w:sz="4" w:space="0" w:color="D8B5D8" w:themeColor="accent6" w:themeTint="67"/>
          <w:bottom w:val="single" w:sz="4" w:space="0" w:color="D8B5D8" w:themeColor="accent6" w:themeTint="67"/>
          <w:right w:val="single" w:sz="4" w:space="0" w:color="D8B5D8" w:themeColor="accent6" w:themeTint="67"/>
        </w:tcBorders>
      </w:tcPr>
    </w:tblStyle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003F68" w:themeColor="accent1" w:themeShade="BF"/>
    </w:rPr>
  </w:style>
  <w:style w:type="paragraph" w:styleId="IntenseQuote">
    <w:name w:val="Intense Quote"/>
    <w:basedOn w:val="Normal"/>
    <w:next w:val="Normal"/>
    <w:link w:val="IntenseQuoteChar"/>
    <w:uiPriority w:val="30"/>
    <w:qFormat/>
    <w:pPr>
      <w:pBdr>
        <w:top w:val="single" w:sz="4" w:space="10" w:color="003F68" w:themeColor="accent1" w:themeShade="BF"/>
        <w:bottom w:val="single" w:sz="4" w:space="10" w:color="003F68" w:themeColor="accent1" w:themeShade="BF"/>
      </w:pBdr>
      <w:spacing w:before="360" w:after="360"/>
      <w:ind w:left="864" w:right="864"/>
      <w:jc w:val="center"/>
    </w:pPr>
    <w:rPr>
      <w:i/>
      <w:iCs/>
      <w:color w:val="003F68" w:themeColor="accent1" w:themeShade="BF"/>
    </w:rPr>
  </w:style>
  <w:style w:type="character" w:customStyle="1" w:styleId="IntenseQuoteChar">
    <w:name w:val="Intense Quote Char"/>
    <w:basedOn w:val="DefaultParagraphFont"/>
    <w:link w:val="IntenseQuote"/>
    <w:uiPriority w:val="30"/>
    <w:rPr>
      <w:i/>
      <w:iCs/>
      <w:color w:val="003F68" w:themeColor="accent1" w:themeShade="BF"/>
    </w:rPr>
  </w:style>
  <w:style w:type="character" w:styleId="IntenseReference">
    <w:name w:val="Intense Reference"/>
    <w:basedOn w:val="DefaultParagraphFont"/>
    <w:uiPriority w:val="32"/>
    <w:qFormat/>
    <w:rPr>
      <w:b/>
      <w:bCs/>
      <w:smallCaps/>
      <w:color w:val="003F68"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Header">
    <w:name w:val="header"/>
    <w:link w:val="HeaderChar"/>
    <w:pPr>
      <w:spacing w:after="0" w:line="240" w:lineRule="exact"/>
    </w:pPr>
    <w:rPr>
      <w:sz w:val="20"/>
      <w:lang w:val="en-GB"/>
    </w:rPr>
  </w:style>
  <w:style w:type="character" w:customStyle="1" w:styleId="HeaderChar">
    <w:name w:val="Header Char"/>
    <w:basedOn w:val="DefaultParagraphFont"/>
    <w:link w:val="Header"/>
    <w:rPr>
      <w:sz w:val="20"/>
      <w:lang w:val="en-GB"/>
    </w:rPr>
  </w:style>
  <w:style w:type="paragraph" w:styleId="Footer">
    <w:name w:val="footer"/>
    <w:link w:val="FooterChar"/>
    <w:pPr>
      <w:spacing w:after="0" w:line="240" w:lineRule="exact"/>
    </w:pPr>
    <w:rPr>
      <w:sz w:val="20"/>
      <w:lang w:val="en-GB"/>
    </w:rPr>
  </w:style>
  <w:style w:type="character" w:customStyle="1" w:styleId="FooterChar">
    <w:name w:val="Footer Char"/>
    <w:basedOn w:val="DefaultParagraphFont"/>
    <w:link w:val="Footer"/>
    <w:rPr>
      <w:sz w:val="20"/>
      <w:lang w:val="en-GB"/>
    </w:rPr>
  </w:style>
  <w:style w:type="paragraph" w:styleId="BalloonText">
    <w:name w:val="Balloon Text"/>
    <w:basedOn w:val="Normal"/>
    <w:link w:val="BalloonTextChar"/>
    <w:pPr>
      <w:spacing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GB"/>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paragraph" w:customStyle="1" w:styleId="Documenttype">
    <w:name w:val="Document type"/>
    <w:basedOn w:val="Normal"/>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pPr>
      <w:ind w:left="360" w:hanging="360"/>
      <w:contextualSpacing/>
    </w:pPr>
  </w:style>
  <w:style w:type="character" w:customStyle="1" w:styleId="Heading4Char">
    <w:name w:val="Heading 4 Char"/>
    <w:basedOn w:val="DefaultParagraphFont"/>
    <w:link w:val="Heading4"/>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Pr>
      <w:rFonts w:asciiTheme="majorHAnsi" w:eastAsiaTheme="majorEastAsia" w:hAnsiTheme="majorHAnsi" w:cstheme="majorBidi"/>
      <w:i/>
      <w:iCs/>
      <w:color w:val="002A45" w:themeColor="accent1" w:themeShade="7F"/>
      <w:lang w:val="en-GB"/>
    </w:rPr>
  </w:style>
  <w:style w:type="character" w:customStyle="1" w:styleId="Heading7Char">
    <w:name w:val="Heading 7 Char"/>
    <w:basedOn w:val="DefaultParagraphFont"/>
    <w:link w:val="Heading7"/>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pPr>
      <w:numPr>
        <w:numId w:val="6"/>
      </w:numPr>
    </w:pPr>
    <w:rPr>
      <w:color w:val="000000" w:themeColor="text1"/>
    </w:rPr>
  </w:style>
  <w:style w:type="paragraph" w:customStyle="1" w:styleId="Bullet2">
    <w:name w:val="Bullet 2"/>
    <w:basedOn w:val="Normal"/>
    <w:link w:val="Bullet2Char"/>
    <w:qFormat/>
    <w:pPr>
      <w:numPr>
        <w:numId w:val="7"/>
      </w:numPr>
    </w:pPr>
    <w:rPr>
      <w:color w:val="000000" w:themeColor="text1"/>
    </w:rPr>
  </w:style>
  <w:style w:type="paragraph" w:customStyle="1" w:styleId="Heading1separationline">
    <w:name w:val="Heading 1 separation line"/>
    <w:basedOn w:val="Normal"/>
    <w:next w:val="BodyText"/>
    <w:pPr>
      <w:pBdr>
        <w:bottom w:val="single" w:sz="8" w:space="1" w:color="00558C" w:themeColor="accent1"/>
      </w:pBdr>
      <w:spacing w:line="90" w:lineRule="exact"/>
      <w:ind w:right="8789"/>
    </w:pPr>
    <w:rPr>
      <w:color w:val="000000" w:themeColor="text1"/>
    </w:rPr>
  </w:style>
  <w:style w:type="paragraph" w:customStyle="1" w:styleId="Heading2separationline">
    <w:name w:val="Heading 2 separation line"/>
    <w:basedOn w:val="Normal"/>
    <w:next w:val="BodyText"/>
    <w:pPr>
      <w:pBdr>
        <w:bottom w:val="single" w:sz="4" w:space="1" w:color="575756"/>
      </w:pBdr>
      <w:spacing w:after="60" w:line="110" w:lineRule="exact"/>
      <w:ind w:right="8787"/>
    </w:pPr>
    <w:rPr>
      <w:color w:val="000000" w:themeColor="text1"/>
    </w:rPr>
  </w:style>
  <w:style w:type="paragraph" w:customStyle="1" w:styleId="PageNumber1">
    <w:name w:val="Page Number1"/>
    <w:basedOn w:val="Normal"/>
    <w:pPr>
      <w:spacing w:line="180" w:lineRule="exact"/>
      <w:jc w:val="right"/>
    </w:pPr>
    <w:rPr>
      <w:color w:val="00558C" w:themeColor="accent1"/>
    </w:rPr>
  </w:style>
  <w:style w:type="paragraph" w:customStyle="1" w:styleId="Editionnumber">
    <w:name w:val="Edition number"/>
    <w:basedOn w:val="Normal"/>
    <w:rPr>
      <w:b/>
      <w:color w:val="00558C" w:themeColor="accent1"/>
      <w:sz w:val="50"/>
      <w:szCs w:val="50"/>
    </w:rPr>
  </w:style>
  <w:style w:type="paragraph" w:customStyle="1" w:styleId="Editionnumber-footer">
    <w:name w:val="Edition number - footer"/>
    <w:basedOn w:val="Footer"/>
    <w:next w:val="NoSpacing"/>
    <w:pPr>
      <w:framePr w:hSpace="142" w:wrap="around" w:hAnchor="margin" w:xAlign="center" w:yAlign="bottom"/>
      <w:spacing w:before="40" w:line="180" w:lineRule="exact"/>
    </w:pPr>
    <w:rPr>
      <w:b/>
      <w:color w:val="00558C" w:themeColor="accent1"/>
      <w:sz w:val="15"/>
      <w:szCs w:val="15"/>
    </w:rPr>
  </w:style>
  <w:style w:type="paragraph" w:customStyle="1" w:styleId="Contents">
    <w:name w:val="Contents"/>
    <w:basedOn w:val="Header"/>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pPr>
      <w:tabs>
        <w:tab w:val="right" w:leader="dot" w:pos="9781"/>
      </w:tabs>
      <w:spacing w:after="40" w:line="300" w:lineRule="atLeast"/>
      <w:ind w:left="425" w:right="425" w:hanging="425"/>
    </w:pPr>
    <w:rPr>
      <w:b/>
      <w:caps/>
      <w:color w:val="00558C" w:themeColor="accent1"/>
    </w:rPr>
  </w:style>
  <w:style w:type="paragraph" w:styleId="TOC2">
    <w:name w:val="toc 2"/>
    <w:basedOn w:val="Normal"/>
    <w:next w:val="Normal"/>
    <w:uiPriority w:val="39"/>
    <w:pPr>
      <w:tabs>
        <w:tab w:val="right" w:leader="dot" w:pos="9781"/>
      </w:tabs>
      <w:spacing w:after="40" w:line="300" w:lineRule="atLeast"/>
      <w:ind w:left="709" w:right="425" w:hanging="709"/>
    </w:pPr>
    <w:rPr>
      <w:color w:val="00558C" w:themeColor="accent1"/>
    </w:rPr>
  </w:style>
  <w:style w:type="character" w:styleId="Hyperlink">
    <w:name w:val="Hyperlink"/>
    <w:basedOn w:val="DefaultParagraphFont"/>
    <w:uiPriority w:val="99"/>
    <w:unhideWhenUsed/>
    <w:qFormat/>
    <w:rPr>
      <w:color w:val="00558C" w:themeColor="accent1"/>
      <w:u w:val="single"/>
    </w:rPr>
  </w:style>
  <w:style w:type="paragraph" w:styleId="ListNumber3">
    <w:name w:val="List Number 3"/>
    <w:basedOn w:val="Normal"/>
    <w:uiPriority w:val="99"/>
    <w:unhideWhenUsed/>
    <w:pPr>
      <w:contextualSpacing/>
    </w:pPr>
  </w:style>
  <w:style w:type="paragraph" w:styleId="TableofFigures">
    <w:name w:val="table of figures"/>
    <w:basedOn w:val="Normal"/>
    <w:next w:val="Normal"/>
    <w:uiPriority w:val="99"/>
    <w:pPr>
      <w:tabs>
        <w:tab w:val="right" w:leader="dot" w:pos="9781"/>
      </w:tabs>
      <w:spacing w:after="60"/>
      <w:ind w:left="1276" w:right="425" w:hanging="1276"/>
    </w:pPr>
    <w:rPr>
      <w:i/>
      <w:color w:val="00558C"/>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rPr>
      <w:b/>
      <w:color w:val="00558C"/>
    </w:r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tcBorders>
        <w:shd w:val="clear" w:color="auto" w:fill="009FE3" w:themeFill="accent2"/>
      </w:tcPr>
    </w:tblStylePr>
    <w:tblStylePr w:type="lastRow">
      <w:pPr>
        <w:spacing w:before="0" w:after="0" w:line="240" w:lineRule="auto"/>
      </w:pPr>
      <w:rPr>
        <w:b/>
        <w:bCs/>
      </w:rPr>
      <w:tblPr/>
      <w:tcPr>
        <w:tcBorders>
          <w:top w:val="sing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tcBorders>
      </w:tcPr>
    </w:tblStylePr>
    <w:tblStylePr w:type="band2Horz">
      <w:tblPr/>
      <w:tcPr>
        <w:tcBorders>
          <w:top w:val="single" w:sz="8" w:space="0" w:color="575756"/>
          <w:left w:val="single" w:sz="8" w:space="0" w:color="575756"/>
          <w:bottom w:val="single" w:sz="8" w:space="0" w:color="575756"/>
          <w:right w:val="single" w:sz="8" w:space="0" w:color="575756"/>
        </w:tcBorders>
        <w:shd w:val="clear" w:color="auto" w:fill="C6EDFF" w:themeFill="accent2" w:themeFillTint="33"/>
      </w:tcPr>
    </w:tblStylePr>
  </w:style>
  <w:style w:type="paragraph" w:styleId="Caption">
    <w:name w:val="caption"/>
    <w:basedOn w:val="Normal"/>
    <w:next w:val="Normal"/>
    <w:uiPriority w:val="35"/>
    <w:rPr>
      <w:b/>
      <w:bCs/>
      <w:i/>
      <w:color w:val="575756"/>
      <w:u w:val="single"/>
    </w:rPr>
  </w:style>
  <w:style w:type="paragraph" w:styleId="TOC3">
    <w:name w:val="toc 3"/>
    <w:basedOn w:val="Normal"/>
    <w:next w:val="Normal"/>
    <w:uiPriority w:val="39"/>
    <w:unhideWhenUsed/>
    <w:pPr>
      <w:tabs>
        <w:tab w:val="right" w:leader="dot" w:pos="9781"/>
      </w:tabs>
      <w:spacing w:after="60"/>
      <w:ind w:left="1134" w:hanging="709"/>
    </w:pPr>
    <w:rPr>
      <w:color w:val="00558C"/>
    </w:rPr>
  </w:style>
  <w:style w:type="paragraph" w:customStyle="1" w:styleId="Listatext">
    <w:name w:val="List a text"/>
    <w:basedOn w:val="Normal"/>
    <w:qFormat/>
    <w:pPr>
      <w:ind w:left="1134"/>
    </w:pPr>
  </w:style>
  <w:style w:type="character" w:customStyle="1" w:styleId="Bullet2Char">
    <w:name w:val="Bullet 2 Char"/>
    <w:basedOn w:val="DefaultParagraphFont"/>
    <w:link w:val="Bullet2"/>
    <w:rPr>
      <w:color w:val="000000" w:themeColor="text1"/>
      <w:lang w:val="en-GB"/>
    </w:rPr>
  </w:style>
  <w:style w:type="paragraph" w:customStyle="1" w:styleId="AppendixHead2">
    <w:name w:val="Appendix Head 2"/>
    <w:basedOn w:val="Appendix"/>
    <w:next w:val="Heading2separationline"/>
    <w:qFormat/>
    <w:pPr>
      <w:numPr>
        <w:ilvl w:val="2"/>
      </w:numPr>
      <w:spacing w:after="120"/>
    </w:pPr>
    <w:rPr>
      <w:rFonts w:cs="Arial"/>
      <w:sz w:val="24"/>
      <w:lang w:eastAsia="en-GB"/>
    </w:rPr>
  </w:style>
  <w:style w:type="paragraph" w:customStyle="1" w:styleId="AppendixHead3">
    <w:name w:val="Appendix Head 3"/>
    <w:basedOn w:val="Normal"/>
    <w:next w:val="BodyText"/>
    <w:qFormat/>
    <w:pPr>
      <w:numPr>
        <w:ilvl w:val="3"/>
        <w:numId w:val="4"/>
      </w:numPr>
      <w:spacing w:before="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paragraph" w:customStyle="1" w:styleId="Annex">
    <w:name w:val="Annex"/>
    <w:next w:val="BodyText"/>
    <w:link w:val="AnnexChar"/>
    <w:qFormat/>
    <w:pPr>
      <w:numPr>
        <w:numId w:val="2"/>
      </w:numPr>
      <w:spacing w:after="360"/>
    </w:pPr>
    <w:rPr>
      <w:b/>
      <w:caps/>
      <w:color w:val="00558C"/>
      <w:sz w:val="28"/>
      <w:lang w:val="en-GB"/>
    </w:rPr>
  </w:style>
  <w:style w:type="character" w:customStyle="1" w:styleId="AnnexChar">
    <w:name w:val="Annex Char"/>
    <w:basedOn w:val="DefaultParagraphFont"/>
    <w:link w:val="Annex"/>
    <w:rPr>
      <w:b/>
      <w:caps/>
      <w:color w:val="00558C"/>
      <w:sz w:val="28"/>
      <w:lang w:val="en-GB"/>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styleId="BodyText">
    <w:name w:val="Body Text"/>
    <w:basedOn w:val="Normal"/>
    <w:link w:val="BodyTextChar"/>
    <w:unhideWhenUsed/>
    <w:qFormat/>
    <w:pPr>
      <w:jc w:val="both"/>
    </w:pPr>
  </w:style>
  <w:style w:type="character" w:customStyle="1" w:styleId="BodyTextChar">
    <w:name w:val="Body Text Char"/>
    <w:basedOn w:val="DefaultParagraphFont"/>
    <w:link w:val="BodyText"/>
    <w:rPr>
      <w:lang w:val="en-GB"/>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2"/>
      </w:numPr>
      <w:spacing w:before="120" w:line="240" w:lineRule="auto"/>
    </w:pPr>
    <w:rPr>
      <w:rFonts w:eastAsia="Calibri" w:cs="Calibri"/>
      <w:color w:val="00558C"/>
      <w:lang w:eastAsia="en-GB"/>
    </w:rPr>
  </w:style>
  <w:style w:type="character" w:styleId="CommentReference">
    <w:name w:val="annotation reference"/>
    <w:basedOn w:val="DefaultParagraphFont"/>
    <w:unhideWhenUsed/>
    <w:rPr>
      <w:sz w:val="18"/>
      <w:szCs w:val="18"/>
      <w:lang w:val="en-GB"/>
    </w:rPr>
  </w:style>
  <w:style w:type="paragraph" w:styleId="CommentText">
    <w:name w:val="annotation text"/>
    <w:basedOn w:val="Normal"/>
    <w:link w:val="CommentTextChar"/>
    <w:unhideWhenUsed/>
    <w:pPr>
      <w:spacing w:line="240" w:lineRule="auto"/>
    </w:pPr>
    <w:rPr>
      <w:sz w:val="24"/>
      <w:szCs w:val="24"/>
    </w:rPr>
  </w:style>
  <w:style w:type="character" w:customStyle="1" w:styleId="CommentTextChar">
    <w:name w:val="Comment Text Char"/>
    <w:basedOn w:val="DefaultParagraphFont"/>
    <w:link w:val="CommentText"/>
    <w:rPr>
      <w:sz w:val="24"/>
      <w:szCs w:val="24"/>
      <w:lang w:val="en-GB"/>
    </w:rPr>
  </w:style>
  <w:style w:type="paragraph" w:styleId="CommentSubject">
    <w:name w:val="annotation subject"/>
    <w:basedOn w:val="CommentText"/>
    <w:next w:val="CommentText"/>
    <w:link w:val="CommentSubjectChar"/>
    <w:unhideWhenUsed/>
    <w:rPr>
      <w:b/>
      <w:bCs/>
      <w:sz w:val="20"/>
      <w:szCs w:val="20"/>
    </w:rPr>
  </w:style>
  <w:style w:type="character" w:customStyle="1" w:styleId="CommentSubjectChar">
    <w:name w:val="Comment Subject Char"/>
    <w:basedOn w:val="CommentTextChar"/>
    <w:link w:val="CommentSubject"/>
    <w:rPr>
      <w:b/>
      <w:bCs/>
      <w:sz w:val="20"/>
      <w:szCs w:val="20"/>
      <w:lang w:val="en-GB"/>
    </w:rPr>
  </w:style>
  <w:style w:type="paragraph" w:styleId="BodyTextIndent3">
    <w:name w:val="Body Text Indent 3"/>
    <w:basedOn w:val="Normal"/>
    <w:link w:val="BodyTextIndent3Char"/>
    <w:semiHidden/>
    <w:unhideWhenUsed/>
    <w:pPr>
      <w:ind w:left="360"/>
    </w:pPr>
    <w:rPr>
      <w:sz w:val="16"/>
      <w:szCs w:val="16"/>
    </w:rPr>
  </w:style>
  <w:style w:type="character" w:customStyle="1" w:styleId="BodyTextIndent3Char">
    <w:name w:val="Body Text Indent 3 Char"/>
    <w:basedOn w:val="DefaultParagraphFont"/>
    <w:link w:val="BodyTextIndent3"/>
    <w:semiHidden/>
    <w:rPr>
      <w:sz w:val="16"/>
      <w:szCs w:val="16"/>
      <w:lang w:val="en-GB"/>
    </w:rPr>
  </w:style>
  <w:style w:type="paragraph" w:customStyle="1" w:styleId="InsetList">
    <w:name w:val="Inset List"/>
    <w:basedOn w:val="Normal"/>
    <w:qFormat/>
    <w:pPr>
      <w:numPr>
        <w:numId w:val="13"/>
      </w:numPr>
      <w:jc w:val="both"/>
    </w:pPr>
  </w:style>
  <w:style w:type="paragraph" w:customStyle="1" w:styleId="ListofFigures">
    <w:name w:val="List of Figures"/>
    <w:basedOn w:val="Normal"/>
    <w:next w:val="Normal"/>
    <w:pPr>
      <w:spacing w:after="240" w:line="480" w:lineRule="atLeast"/>
    </w:pPr>
    <w:rPr>
      <w:b/>
      <w:color w:val="009FE3" w:themeColor="accent2"/>
      <w:sz w:val="40"/>
      <w:szCs w:val="40"/>
    </w:rPr>
  </w:style>
  <w:style w:type="paragraph" w:customStyle="1" w:styleId="Tablecaption0">
    <w:name w:val="Table caption"/>
    <w:basedOn w:val="Caption"/>
    <w:next w:val="BodyText"/>
    <w:qFormat/>
    <w:pPr>
      <w:tabs>
        <w:tab w:val="left" w:pos="851"/>
      </w:tabs>
      <w:spacing w:before="240" w:after="240"/>
      <w:jc w:val="center"/>
    </w:pPr>
    <w:rPr>
      <w:b w:val="0"/>
      <w:u w:val="none"/>
    </w:rPr>
  </w:style>
  <w:style w:type="paragraph" w:styleId="ListNumber">
    <w:name w:val="List Number"/>
    <w:basedOn w:val="Normal"/>
    <w:semiHidden/>
    <w:pPr>
      <w:numPr>
        <w:numId w:val="16"/>
      </w:numPr>
      <w:contextualSpacing/>
    </w:pPr>
  </w:style>
  <w:style w:type="paragraph" w:styleId="TOC4">
    <w:name w:val="toc 4"/>
    <w:basedOn w:val="Normal"/>
    <w:next w:val="Normal"/>
    <w:uiPriority w:val="39"/>
    <w:unhideWhenUsed/>
    <w:pPr>
      <w:tabs>
        <w:tab w:val="right" w:leader="dot" w:pos="9781"/>
        <w:tab w:val="right" w:leader="dot" w:pos="10195"/>
      </w:tabs>
      <w:ind w:left="1418" w:right="425" w:hanging="1418"/>
    </w:pPr>
    <w:rPr>
      <w:b/>
      <w:caps/>
      <w:color w:val="00558C"/>
    </w:rPr>
  </w:style>
  <w:style w:type="paragraph" w:styleId="FootnoteText">
    <w:name w:val="footnote text"/>
    <w:basedOn w:val="Normal"/>
    <w:link w:val="FootnoteTextChar"/>
    <w:uiPriority w:val="9"/>
    <w:unhideWhenUsed/>
    <w:qFormat/>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
    <w:rPr>
      <w:szCs w:val="24"/>
      <w:vertAlign w:val="superscript"/>
      <w:lang w:val="en-GB"/>
    </w:rPr>
  </w:style>
  <w:style w:type="character" w:styleId="FootnoteReference">
    <w:name w:val="footnote reference"/>
    <w:rPr>
      <w:rFonts w:asciiTheme="minorHAnsi" w:hAnsiTheme="minorHAnsi"/>
      <w:sz w:val="20"/>
      <w:vertAlign w:val="superscript"/>
    </w:rPr>
  </w:style>
  <w:style w:type="character" w:styleId="PageNumber">
    <w:name w:val="page number"/>
    <w:rPr>
      <w:rFonts w:asciiTheme="minorHAnsi" w:hAnsiTheme="minorHAnsi"/>
      <w:sz w:val="15"/>
    </w:rPr>
  </w:style>
  <w:style w:type="paragraph" w:customStyle="1" w:styleId="Footereditionno">
    <w:name w:val="Footer edition no."/>
    <w:basedOn w:val="Normal"/>
    <w:pPr>
      <w:tabs>
        <w:tab w:val="right" w:pos="10206"/>
      </w:tabs>
    </w:pPr>
    <w:rPr>
      <w:b/>
      <w:color w:val="00558C"/>
      <w:sz w:val="15"/>
    </w:rPr>
  </w:style>
  <w:style w:type="paragraph" w:customStyle="1" w:styleId="Lista">
    <w:name w:val="List a"/>
    <w:basedOn w:val="Normal"/>
    <w:qFormat/>
    <w:pPr>
      <w:numPr>
        <w:ilvl w:val="1"/>
        <w:numId w:val="15"/>
      </w:numPr>
      <w:spacing w:line="240" w:lineRule="auto"/>
      <w:jc w:val="both"/>
    </w:pPr>
    <w:rPr>
      <w:rFonts w:eastAsia="Times New Roman" w:cs="Times New Roman"/>
      <w:szCs w:val="20"/>
      <w:lang w:eastAsia="en-GB"/>
    </w:rPr>
  </w:style>
  <w:style w:type="numbering" w:styleId="ArticleSection">
    <w:name w:val="Outline List 3"/>
    <w:basedOn w:val="NoList"/>
    <w:pPr>
      <w:numPr>
        <w:numId w:val="5"/>
      </w:numPr>
    </w:pPr>
  </w:style>
  <w:style w:type="paragraph" w:styleId="TOC5">
    <w:name w:val="toc 5"/>
    <w:basedOn w:val="Normal"/>
    <w:next w:val="Normal"/>
    <w:uiPriority w:val="39"/>
    <w:pPr>
      <w:tabs>
        <w:tab w:val="right" w:leader="dot" w:pos="9781"/>
        <w:tab w:val="right" w:leader="dot" w:pos="10206"/>
      </w:tabs>
      <w:spacing w:before="60" w:after="60" w:line="240" w:lineRule="auto"/>
      <w:ind w:left="1418" w:right="425" w:hanging="1418"/>
    </w:pPr>
    <w:rPr>
      <w:rFonts w:eastAsia="Times New Roman" w:cs="Times New Roman"/>
      <w:b/>
      <w:caps/>
      <w:color w:val="00558C"/>
      <w:szCs w:val="20"/>
    </w:rPr>
  </w:style>
  <w:style w:type="paragraph" w:styleId="TOC6">
    <w:name w:val="toc 6"/>
    <w:basedOn w:val="Normal"/>
    <w:next w:val="Normal"/>
    <w:pPr>
      <w:spacing w:line="240" w:lineRule="auto"/>
      <w:ind w:left="960"/>
    </w:pPr>
    <w:rPr>
      <w:rFonts w:ascii="Arial" w:eastAsia="Times New Roman" w:hAnsi="Arial" w:cs="Times New Roman"/>
      <w:sz w:val="20"/>
      <w:szCs w:val="20"/>
    </w:rPr>
  </w:style>
  <w:style w:type="paragraph" w:styleId="TOC7">
    <w:name w:val="toc 7"/>
    <w:basedOn w:val="Normal"/>
    <w:next w:val="Normal"/>
    <w:pPr>
      <w:spacing w:line="240" w:lineRule="auto"/>
      <w:ind w:left="1200"/>
    </w:pPr>
    <w:rPr>
      <w:rFonts w:ascii="Arial" w:eastAsia="Times New Roman" w:hAnsi="Arial" w:cs="Times New Roman"/>
      <w:sz w:val="20"/>
      <w:szCs w:val="20"/>
    </w:rPr>
  </w:style>
  <w:style w:type="paragraph" w:styleId="TOC8">
    <w:name w:val="toc 8"/>
    <w:basedOn w:val="Normal"/>
    <w:next w:val="Normal"/>
    <w:pPr>
      <w:spacing w:line="240" w:lineRule="auto"/>
      <w:ind w:left="1440"/>
    </w:pPr>
    <w:rPr>
      <w:rFonts w:ascii="Arial" w:eastAsia="Times New Roman" w:hAnsi="Arial" w:cs="Times New Roman"/>
      <w:sz w:val="20"/>
      <w:szCs w:val="20"/>
    </w:rPr>
  </w:style>
  <w:style w:type="paragraph" w:styleId="TOC9">
    <w:name w:val="toc 9"/>
    <w:basedOn w:val="Normal"/>
    <w:next w:val="Normal"/>
    <w:pPr>
      <w:spacing w:line="240" w:lineRule="auto"/>
      <w:ind w:left="1680"/>
    </w:pPr>
    <w:rPr>
      <w:rFonts w:ascii="Arial" w:eastAsia="Times New Roman" w:hAnsi="Arial" w:cs="Times New Roman"/>
      <w:sz w:val="20"/>
      <w:szCs w:val="20"/>
    </w:rPr>
  </w:style>
  <w:style w:type="paragraph" w:customStyle="1" w:styleId="Listi">
    <w:name w:val="List i"/>
    <w:basedOn w:val="Listitext"/>
    <w:qFormat/>
    <w:pPr>
      <w:numPr>
        <w:ilvl w:val="2"/>
        <w:numId w:val="15"/>
      </w:numPr>
    </w:pPr>
  </w:style>
  <w:style w:type="paragraph" w:customStyle="1" w:styleId="Listitext">
    <w:name w:val="List i text"/>
    <w:basedOn w:val="Normal"/>
    <w:qFormat/>
    <w:pPr>
      <w:ind w:left="2268" w:hanging="567"/>
    </w:pPr>
    <w:rPr>
      <w:sz w:val="20"/>
    </w:rPr>
  </w:style>
  <w:style w:type="paragraph" w:customStyle="1" w:styleId="Bullet1text">
    <w:name w:val="Bullet 1 text"/>
    <w:basedOn w:val="Normal"/>
    <w:qFormat/>
    <w:pPr>
      <w:spacing w:line="240" w:lineRule="auto"/>
      <w:ind w:left="992"/>
      <w:jc w:val="both"/>
    </w:pPr>
    <w:rPr>
      <w:rFonts w:eastAsia="Times New Roman" w:cs="Times New Roman"/>
      <w:szCs w:val="20"/>
      <w:lang w:eastAsia="en-GB"/>
    </w:rPr>
  </w:style>
  <w:style w:type="paragraph" w:customStyle="1" w:styleId="Bullet2text">
    <w:name w:val="Bullet 2 text"/>
    <w:basedOn w:val="Normal"/>
    <w:qFormat/>
    <w:pPr>
      <w:spacing w:line="240" w:lineRule="auto"/>
      <w:ind w:left="1701" w:hanging="425"/>
      <w:jc w:val="both"/>
    </w:pPr>
    <w:rPr>
      <w:rFonts w:eastAsia="Times New Roman" w:cs="Times New Roman"/>
      <w:szCs w:val="20"/>
      <w:lang w:eastAsia="en-GB"/>
    </w:rPr>
  </w:style>
  <w:style w:type="paragraph" w:customStyle="1" w:styleId="Bullet3">
    <w:name w:val="Bullet 3"/>
    <w:basedOn w:val="Normal"/>
    <w:qFormat/>
    <w:pPr>
      <w:numPr>
        <w:numId w:val="8"/>
      </w:numPr>
      <w:spacing w:line="240" w:lineRule="auto"/>
    </w:pPr>
    <w:rPr>
      <w:rFonts w:eastAsia="Times New Roman" w:cs="Times New Roman"/>
      <w:sz w:val="20"/>
      <w:szCs w:val="20"/>
      <w:lang w:eastAsia="en-GB"/>
    </w:rPr>
  </w:style>
  <w:style w:type="paragraph" w:customStyle="1" w:styleId="Bullet3text">
    <w:name w:val="Bullet 3 text"/>
    <w:basedOn w:val="Normal"/>
    <w:qFormat/>
    <w:pPr>
      <w:spacing w:line="240" w:lineRule="auto"/>
      <w:ind w:left="1701"/>
    </w:pPr>
    <w:rPr>
      <w:rFonts w:eastAsia="Times New Roman" w:cs="Times New Roman"/>
      <w:sz w:val="20"/>
      <w:szCs w:val="20"/>
      <w:lang w:eastAsia="en-GB"/>
    </w:rPr>
  </w:style>
  <w:style w:type="paragraph" w:customStyle="1" w:styleId="List1">
    <w:name w:val="List 1"/>
    <w:basedOn w:val="Normal"/>
    <w:qFormat/>
    <w:pPr>
      <w:numPr>
        <w:numId w:val="14"/>
      </w:numPr>
      <w:spacing w:line="240" w:lineRule="auto"/>
      <w:jc w:val="both"/>
    </w:pPr>
    <w:rPr>
      <w:rFonts w:eastAsia="Times New Roman" w:cs="Times New Roman"/>
      <w:szCs w:val="20"/>
      <w:lang w:eastAsia="en-GB"/>
    </w:rPr>
  </w:style>
  <w:style w:type="paragraph" w:customStyle="1" w:styleId="List1text">
    <w:name w:val="List 1 text"/>
    <w:basedOn w:val="Normal"/>
    <w:qFormat/>
    <w:pPr>
      <w:spacing w:line="240" w:lineRule="auto"/>
      <w:ind w:left="567"/>
      <w:jc w:val="both"/>
    </w:pPr>
    <w:rPr>
      <w:rFonts w:eastAsia="Times New Roman" w:cs="Times New Roman"/>
      <w:szCs w:val="20"/>
      <w:lang w:eastAsia="en-GB"/>
    </w:rPr>
  </w:style>
  <w:style w:type="paragraph" w:styleId="DocumentMap">
    <w:name w:val="Document Map"/>
    <w:basedOn w:val="Normal"/>
    <w:link w:val="DocumentMapChar"/>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Pr>
      <w:rFonts w:ascii="Tahoma" w:eastAsia="Times New Roman" w:hAnsi="Tahoma" w:cs="Times New Roman"/>
      <w:sz w:val="20"/>
      <w:szCs w:val="24"/>
      <w:shd w:val="clear" w:color="auto" w:fill="000080"/>
      <w:lang w:val="de-DE" w:eastAsia="de-DE"/>
    </w:rPr>
  </w:style>
  <w:style w:type="character" w:styleId="FollowedHyperlink">
    <w:name w:val="FollowedHyperlink"/>
    <w:rPr>
      <w:color w:val="800080"/>
      <w:u w:val="single"/>
    </w:rPr>
  </w:style>
  <w:style w:type="paragraph" w:styleId="NormalWeb">
    <w:name w:val="Normal (Web)"/>
    <w:basedOn w:val="Normal"/>
    <w:uiPriority w:val="99"/>
    <w:pPr>
      <w:spacing w:line="240" w:lineRule="auto"/>
    </w:pPr>
    <w:rPr>
      <w:rFonts w:ascii="Arial" w:eastAsia="Times New Roman" w:hAnsi="Arial" w:cs="Times New Roman"/>
      <w:szCs w:val="24"/>
    </w:rPr>
  </w:style>
  <w:style w:type="paragraph" w:customStyle="1" w:styleId="TableofTables">
    <w:name w:val="Table of Tables"/>
    <w:basedOn w:val="TableofFigures"/>
    <w:pPr>
      <w:tabs>
        <w:tab w:val="left" w:pos="1134"/>
        <w:tab w:val="right" w:pos="9781"/>
      </w:tabs>
    </w:pPr>
  </w:style>
  <w:style w:type="character" w:styleId="Emphasis">
    <w:name w:val="Emphasis"/>
    <w:rPr>
      <w:i/>
      <w:iCs/>
    </w:rPr>
  </w:style>
  <w:style w:type="character" w:styleId="HTMLCite">
    <w:name w:val="HTML Cite"/>
    <w:rPr>
      <w:i/>
      <w:iCs/>
    </w:rPr>
  </w:style>
  <w:style w:type="paragraph" w:customStyle="1" w:styleId="Default">
    <w:name w:val="Default"/>
    <w:pPr>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pPr>
      <w:spacing w:after="0" w:line="240" w:lineRule="auto"/>
    </w:pPr>
    <w:rPr>
      <w:lang w:val="en-M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pPr>
      <w:numPr>
        <w:numId w:val="19"/>
      </w:numPr>
      <w:spacing w:before="120"/>
      <w:contextualSpacing/>
    </w:pPr>
    <w:rPr>
      <w:sz w:val="20"/>
    </w:rPr>
  </w:style>
  <w:style w:type="paragraph" w:customStyle="1" w:styleId="Textedesaisie">
    <w:name w:val="Texte de saisie"/>
    <w:basedOn w:val="Normal"/>
    <w:link w:val="TextedesaisieCar"/>
    <w:rPr>
      <w:color w:val="000000" w:themeColor="text1"/>
    </w:rPr>
  </w:style>
  <w:style w:type="character" w:customStyle="1" w:styleId="TextedesaisieCar">
    <w:name w:val="Texte de saisie Car"/>
    <w:basedOn w:val="DefaultParagraphFont"/>
    <w:link w:val="Textedesaisie"/>
    <w:rPr>
      <w:color w:val="000000" w:themeColor="text1"/>
      <w:lang w:val="en-GB"/>
    </w:rPr>
  </w:style>
  <w:style w:type="paragraph" w:customStyle="1" w:styleId="AnnexTablecaption">
    <w:name w:val="Annex Table caption"/>
    <w:basedOn w:val="BodyText"/>
    <w:qFormat/>
    <w:pPr>
      <w:numPr>
        <w:numId w:val="3"/>
      </w:numPr>
      <w:jc w:val="center"/>
    </w:pPr>
    <w:rPr>
      <w:i/>
      <w:color w:val="00558C"/>
      <w:lang w:eastAsia="en-GB"/>
    </w:rPr>
  </w:style>
  <w:style w:type="paragraph" w:customStyle="1" w:styleId="Figurecaption">
    <w:name w:val="Figure caption"/>
    <w:basedOn w:val="Caption"/>
    <w:next w:val="BodyText"/>
    <w:qFormat/>
    <w:pPr>
      <w:spacing w:before="240" w:after="240"/>
      <w:ind w:left="992" w:hanging="992"/>
      <w:jc w:val="center"/>
    </w:pPr>
    <w:rPr>
      <w:b w:val="0"/>
      <w:u w:val="none"/>
    </w:rPr>
  </w:style>
  <w:style w:type="paragraph" w:styleId="NoSpacing">
    <w:name w:val="No Spacing"/>
    <w:uiPriority w:val="1"/>
    <w:pPr>
      <w:spacing w:after="0" w:line="240" w:lineRule="auto"/>
    </w:pPr>
    <w:rPr>
      <w:sz w:val="18"/>
      <w:lang w:val="en-GB"/>
    </w:rPr>
  </w:style>
  <w:style w:type="paragraph" w:customStyle="1" w:styleId="Abbreviations">
    <w:name w:val="Abbreviations"/>
    <w:basedOn w:val="Normal"/>
    <w:qFormat/>
    <w:pPr>
      <w:spacing w:after="60"/>
      <w:ind w:left="1418" w:hanging="1418"/>
    </w:p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Appendix">
    <w:name w:val="Appendix"/>
    <w:next w:val="BodyText"/>
    <w:qFormat/>
    <w:pPr>
      <w:numPr>
        <w:numId w:val="4"/>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pPr>
      <w:pBdr>
        <w:top w:val="single" w:sz="4" w:space="1" w:color="000000"/>
      </w:pBdr>
      <w:tabs>
        <w:tab w:val="right" w:pos="15309"/>
      </w:tabs>
    </w:pPr>
    <w:rPr>
      <w:b/>
      <w:color w:val="00558C"/>
      <w:sz w:val="15"/>
    </w:rPr>
  </w:style>
  <w:style w:type="paragraph" w:customStyle="1" w:styleId="Documentnumber">
    <w:name w:val="Document number"/>
    <w:basedOn w:val="Normal"/>
    <w:next w:val="Normal"/>
    <w:rPr>
      <w:caps/>
      <w:color w:val="00558C"/>
      <w:sz w:val="50"/>
    </w:rPr>
  </w:style>
  <w:style w:type="paragraph" w:customStyle="1" w:styleId="Documentdate">
    <w:name w:val="Document date"/>
    <w:basedOn w:val="Normal"/>
    <w:rPr>
      <w:b/>
      <w:color w:val="00558C"/>
      <w:sz w:val="28"/>
    </w:rPr>
  </w:style>
  <w:style w:type="paragraph" w:customStyle="1" w:styleId="Footerportrait">
    <w:name w:val="Footer portrait"/>
    <w:basedOn w:val="Normal"/>
    <w:pPr>
      <w:pBdr>
        <w:top w:val="single" w:sz="4" w:space="1" w:color="000000"/>
      </w:pBdr>
      <w:tabs>
        <w:tab w:val="right" w:pos="10206"/>
      </w:tabs>
    </w:pPr>
    <w:rPr>
      <w:b/>
      <w:color w:val="00558C"/>
      <w:sz w:val="15"/>
      <w:lang w:val="en-US"/>
    </w:rPr>
  </w:style>
  <w:style w:type="paragraph" w:customStyle="1" w:styleId="Documentname">
    <w:name w:val="Document name"/>
    <w:basedOn w:val="Documenttype"/>
    <w:pPr>
      <w:ind w:left="0" w:right="0"/>
    </w:pPr>
    <w:rPr>
      <w:b w:val="0"/>
      <w:color w:val="00558C"/>
    </w:rPr>
  </w:style>
  <w:style w:type="character" w:styleId="PlaceholderText">
    <w:name w:val="Placeholder Text"/>
    <w:basedOn w:val="DefaultParagraphFont"/>
    <w:uiPriority w:val="99"/>
    <w:semiHidden/>
    <w:rPr>
      <w:color w:val="808080"/>
    </w:rPr>
  </w:style>
  <w:style w:type="paragraph" w:customStyle="1" w:styleId="Style1">
    <w:name w:val="Style1"/>
    <w:basedOn w:val="Tableheading"/>
  </w:style>
  <w:style w:type="paragraph" w:customStyle="1" w:styleId="Style2">
    <w:name w:val="Style2"/>
    <w:basedOn w:val="TOC3"/>
    <w:pPr>
      <w:tabs>
        <w:tab w:val="left" w:pos="1985"/>
        <w:tab w:val="right" w:pos="10195"/>
      </w:tabs>
    </w:pPr>
    <w:rPr>
      <w:sz w:val="24"/>
      <w:szCs w:val="24"/>
      <w:lang w:val="en-US"/>
    </w:rPr>
  </w:style>
  <w:style w:type="paragraph" w:customStyle="1" w:styleId="Headingseparationline-landscape">
    <w:name w:val="Heading separation line - landscape"/>
    <w:basedOn w:val="Heading1separationline"/>
    <w:pPr>
      <w:ind w:right="14317"/>
    </w:pPr>
  </w:style>
  <w:style w:type="paragraph" w:styleId="Title">
    <w:name w:val="Title"/>
    <w:basedOn w:val="Normal"/>
    <w:link w:val="TitleChar"/>
    <w:qFormat/>
    <w:pPr>
      <w:spacing w:before="180" w:after="60" w:line="240" w:lineRule="auto"/>
      <w:jc w:val="center"/>
      <w:outlineLvl w:val="0"/>
    </w:pPr>
    <w:rPr>
      <w:rFonts w:asciiTheme="majorHAnsi" w:eastAsiaTheme="majorEastAsia" w:hAnsiTheme="majorHAnsi" w:cstheme="majorBidi"/>
      <w:b/>
      <w:bCs/>
      <w:caps/>
      <w:color w:val="00558C"/>
      <w:sz w:val="32"/>
      <w:szCs w:val="24"/>
    </w:rPr>
  </w:style>
  <w:style w:type="character" w:customStyle="1" w:styleId="TitleChar">
    <w:name w:val="Title Char"/>
    <w:basedOn w:val="DefaultParagraphFont"/>
    <w:link w:val="Title"/>
    <w:rPr>
      <w:rFonts w:asciiTheme="majorHAnsi" w:eastAsiaTheme="majorEastAsia" w:hAnsiTheme="majorHAnsi" w:cstheme="majorBidi"/>
      <w:b/>
      <w:bCs/>
      <w:caps/>
      <w:color w:val="00558C"/>
      <w:sz w:val="32"/>
      <w:szCs w:val="24"/>
      <w:lang w:val="en-GB"/>
    </w:rPr>
  </w:style>
  <w:style w:type="paragraph" w:styleId="Revision">
    <w:name w:val="Revision"/>
    <w:hidden/>
    <w:uiPriority w:val="99"/>
    <w:semiHidden/>
    <w:pPr>
      <w:spacing w:after="0" w:line="240" w:lineRule="auto"/>
    </w:pPr>
    <w:rPr>
      <w:sz w:val="18"/>
      <w:lang w:val="en-GB"/>
    </w:rPr>
  </w:style>
  <w:style w:type="paragraph" w:customStyle="1" w:styleId="Referencetext">
    <w:name w:val="Reference text"/>
    <w:basedOn w:val="Normal"/>
    <w:pPr>
      <w:tabs>
        <w:tab w:val="left" w:pos="567"/>
      </w:tabs>
      <w:spacing w:line="240" w:lineRule="auto"/>
      <w:ind w:left="1134" w:hanging="567"/>
    </w:pPr>
    <w:rPr>
      <w:rFonts w:ascii="Calibri" w:eastAsia="Times New Roman" w:hAnsi="Calibri" w:cs="Arial"/>
      <w:szCs w:val="20"/>
      <w:lang w:eastAsia="en-GB"/>
    </w:rPr>
  </w:style>
  <w:style w:type="paragraph" w:customStyle="1" w:styleId="preface6">
    <w:name w:val="preface 6"/>
    <w:basedOn w:val="Heading6"/>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Pr>
      <w:b/>
      <w:color w:val="00558C"/>
      <w:sz w:val="28"/>
    </w:rPr>
  </w:style>
  <w:style w:type="character" w:customStyle="1" w:styleId="MRNChar">
    <w:name w:val="MRN Char"/>
    <w:basedOn w:val="DefaultParagraphFont"/>
    <w:link w:val="MRN"/>
    <w:rPr>
      <w:b/>
      <w:color w:val="00558C"/>
      <w:sz w:val="28"/>
      <w:lang w:val="en-GB"/>
    </w:rPr>
  </w:style>
  <w:style w:type="paragraph" w:customStyle="1" w:styleId="Revokes">
    <w:name w:val="Revokes"/>
    <w:basedOn w:val="Documentdate"/>
    <w:link w:val="RevokesChar"/>
    <w:rPr>
      <w:i/>
    </w:rPr>
  </w:style>
  <w:style w:type="character" w:customStyle="1" w:styleId="RevokesChar">
    <w:name w:val="Revokes Char"/>
    <w:basedOn w:val="DefaultParagraphFont"/>
    <w:link w:val="Revokes"/>
    <w:rPr>
      <w:b/>
      <w:i/>
      <w:color w:val="00558C"/>
      <w:sz w:val="28"/>
      <w:lang w:val="en-GB"/>
    </w:rPr>
  </w:style>
  <w:style w:type="paragraph" w:customStyle="1" w:styleId="Reference">
    <w:name w:val="Reference"/>
    <w:basedOn w:val="Normal"/>
    <w:qFormat/>
    <w:pPr>
      <w:numPr>
        <w:numId w:val="17"/>
      </w:numPr>
      <w:spacing w:before="120" w:after="60" w:line="240" w:lineRule="auto"/>
      <w:jc w:val="both"/>
    </w:pPr>
    <w:rPr>
      <w:rFonts w:eastAsia="Times New Roman" w:cs="Times New Roman"/>
      <w:szCs w:val="20"/>
    </w:rPr>
  </w:style>
  <w:style w:type="paragraph" w:customStyle="1" w:styleId="Equation">
    <w:name w:val="Equation"/>
    <w:basedOn w:val="BodyText"/>
    <w:next w:val="BodyText"/>
    <w:link w:val="EquationChar"/>
    <w:qFormat/>
    <w:pPr>
      <w:numPr>
        <w:numId w:val="9"/>
      </w:numPr>
      <w:spacing w:before="60"/>
      <w:jc w:val="right"/>
    </w:pPr>
  </w:style>
  <w:style w:type="character" w:customStyle="1" w:styleId="EquationChar">
    <w:name w:val="Equation Char"/>
    <w:basedOn w:val="BodyTextChar"/>
    <w:link w:val="Equation"/>
    <w:rPr>
      <w:lang w:val="en-GB"/>
    </w:rPr>
  </w:style>
  <w:style w:type="paragraph" w:customStyle="1" w:styleId="Furtherreading">
    <w:name w:val="Further reading"/>
    <w:basedOn w:val="BodyText"/>
    <w:link w:val="FurtherreadingChar"/>
    <w:qFormat/>
    <w:pPr>
      <w:numPr>
        <w:numId w:val="10"/>
      </w:numPr>
      <w:spacing w:before="60"/>
    </w:pPr>
  </w:style>
  <w:style w:type="character" w:customStyle="1" w:styleId="FurtherreadingChar">
    <w:name w:val="Further reading Char"/>
    <w:basedOn w:val="BodyTextChar"/>
    <w:link w:val="Furtherreading"/>
    <w:rPr>
      <w:lang w:val="en-GB"/>
    </w:rPr>
  </w:style>
  <w:style w:type="paragraph" w:customStyle="1" w:styleId="Documentrevisiontabletitle">
    <w:name w:val="Document revision table title"/>
    <w:basedOn w:val="Normal"/>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1"/>
      </w:numPr>
      <w:jc w:val="center"/>
    </w:pPr>
    <w:rPr>
      <w:i/>
      <w:color w:val="00558C"/>
      <w:lang w:eastAsia="en-GB"/>
    </w:rPr>
  </w:style>
  <w:style w:type="character" w:customStyle="1" w:styleId="AnnexFigureCaptionChar">
    <w:name w:val="Annex Figure Caption Char"/>
    <w:basedOn w:val="BodyTextChar"/>
    <w:link w:val="AnnexFigureCaption"/>
    <w:rPr>
      <w:i/>
      <w:color w:val="00558C"/>
      <w:lang w:val="en-GB" w:eastAsia="en-GB"/>
    </w:rPr>
  </w:style>
  <w:style w:type="paragraph" w:styleId="Index1">
    <w:name w:val="index 1"/>
    <w:basedOn w:val="Normal"/>
    <w:next w:val="Normal"/>
    <w:semiHidden/>
    <w:unhideWhenUsed/>
    <w:pPr>
      <w:spacing w:line="240" w:lineRule="auto"/>
      <w:ind w:left="180" w:hanging="180"/>
    </w:pPr>
  </w:style>
  <w:style w:type="paragraph" w:customStyle="1" w:styleId="AppendixHead1">
    <w:name w:val="Appendix Head 1"/>
    <w:basedOn w:val="Normal"/>
    <w:next w:val="Heading1separationline"/>
    <w:qFormat/>
    <w:pPr>
      <w:numPr>
        <w:ilvl w:val="1"/>
        <w:numId w:val="4"/>
      </w:numPr>
      <w:spacing w:before="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pPr>
      <w:ind w:left="425" w:right="709"/>
    </w:pPr>
    <w:rPr>
      <w:i/>
    </w:rPr>
  </w:style>
  <w:style w:type="character" w:customStyle="1" w:styleId="EmphasisParagraphChar">
    <w:name w:val="Emphasis Paragraph Char"/>
    <w:basedOn w:val="BodyTextChar"/>
    <w:link w:val="EmphasisParagraph"/>
    <w:rPr>
      <w:i/>
      <w:lang w:val="en-GB"/>
    </w:rPr>
  </w:style>
  <w:style w:type="paragraph" w:customStyle="1" w:styleId="Quotationparagraph">
    <w:name w:val="Quotation paragraph"/>
    <w:basedOn w:val="BodyText"/>
    <w:link w:val="QuotationparagraphChar"/>
    <w:qFormat/>
    <w:pPr>
      <w:ind w:left="567" w:right="707"/>
    </w:pPr>
  </w:style>
  <w:style w:type="character" w:customStyle="1" w:styleId="QuotationparagraphChar">
    <w:name w:val="Quotation paragraph Char"/>
    <w:basedOn w:val="BodyTextChar"/>
    <w:link w:val="Quotationparagraph"/>
    <w:rPr>
      <w:lang w:val="en-GB"/>
    </w:rPr>
  </w:style>
  <w:style w:type="paragraph" w:customStyle="1" w:styleId="Hidden">
    <w:name w:val="Hidden"/>
    <w:basedOn w:val="BodyText"/>
    <w:link w:val="HiddenChar"/>
    <w:qFormat/>
    <w:pPr>
      <w:widowControl w:val="0"/>
      <w:spacing w:after="0" w:line="0" w:lineRule="atLeast"/>
    </w:pPr>
    <w:rPr>
      <w:vanish/>
      <w:sz w:val="2"/>
      <w:szCs w:val="2"/>
    </w:rPr>
  </w:style>
  <w:style w:type="character" w:customStyle="1" w:styleId="HiddenChar">
    <w:name w:val="Hidden Char"/>
    <w:basedOn w:val="BodyTextChar"/>
    <w:link w:val="Hidden"/>
    <w:rPr>
      <w:vanish/>
      <w:sz w:val="2"/>
      <w:szCs w:val="2"/>
      <w:lang w:val="en-GB"/>
    </w:rPr>
  </w:style>
  <w:style w:type="paragraph" w:customStyle="1" w:styleId="Abstract">
    <w:name w:val="Abstract"/>
    <w:basedOn w:val="Normal"/>
    <w:next w:val="BodyText"/>
    <w:qFormat/>
    <w:pPr>
      <w:keepNext/>
      <w:keepLines/>
      <w:spacing w:before="100" w:after="300" w:line="240" w:lineRule="auto"/>
    </w:pPr>
    <w:rPr>
      <w:sz w:val="20"/>
      <w:szCs w:val="20"/>
      <w:lang w:val="en-US"/>
    </w:rPr>
  </w:style>
  <w:style w:type="character" w:customStyle="1" w:styleId="AlertTok">
    <w:name w:val="AlertTok"/>
    <w:rPr>
      <w:b/>
      <w:color w:val="FF0000"/>
    </w:rPr>
  </w:style>
  <w:style w:type="character" w:customStyle="1" w:styleId="AnnotationTok">
    <w:name w:val="AnnotationTok"/>
    <w:rPr>
      <w:b/>
      <w:i/>
      <w:color w:val="60A0B0"/>
    </w:rPr>
  </w:style>
  <w:style w:type="character" w:customStyle="1" w:styleId="AttributeTok">
    <w:name w:val="AttributeTok"/>
    <w:rPr>
      <w:color w:val="7D9029"/>
    </w:rPr>
  </w:style>
  <w:style w:type="paragraph" w:customStyle="1" w:styleId="Author">
    <w:name w:val="Author"/>
    <w:next w:val="BodyText"/>
    <w:qFormat/>
    <w:pPr>
      <w:keepNext/>
      <w:keepLines/>
      <w:spacing w:line="240" w:lineRule="auto"/>
      <w:jc w:val="center"/>
    </w:pPr>
    <w:rPr>
      <w:sz w:val="24"/>
      <w:szCs w:val="24"/>
      <w:lang w:val="en-US"/>
    </w:rPr>
  </w:style>
  <w:style w:type="character" w:customStyle="1" w:styleId="BaseNTok">
    <w:name w:val="BaseNTok"/>
    <w:rPr>
      <w:color w:val="40A070"/>
    </w:rPr>
  </w:style>
  <w:style w:type="paragraph" w:styleId="BlockText">
    <w:name w:val="Block Text"/>
    <w:basedOn w:val="BodyText"/>
    <w:next w:val="BodyText"/>
    <w:uiPriority w:val="9"/>
    <w:unhideWhenUsed/>
    <w:qFormat/>
    <w:pPr>
      <w:spacing w:before="100" w:after="100" w:line="240" w:lineRule="auto"/>
      <w:ind w:left="480" w:right="480"/>
      <w:jc w:val="left"/>
    </w:pPr>
    <w:rPr>
      <w:szCs w:val="24"/>
      <w:lang w:val="en-US"/>
    </w:rPr>
  </w:style>
  <w:style w:type="character" w:customStyle="1" w:styleId="BuiltInTok">
    <w:name w:val="BuiltInTok"/>
    <w:rPr>
      <w:color w:val="008000"/>
    </w:rPr>
  </w:style>
  <w:style w:type="paragraph" w:customStyle="1" w:styleId="CaptionedFigure">
    <w:name w:val="Captioned Figure"/>
    <w:basedOn w:val="Normal"/>
    <w:next w:val="Figurecaption"/>
    <w:qFormat/>
    <w:pPr>
      <w:keepNext/>
      <w:jc w:val="center"/>
    </w:pPr>
  </w:style>
  <w:style w:type="character" w:customStyle="1" w:styleId="CharTok">
    <w:name w:val="CharTok"/>
    <w:rPr>
      <w:color w:val="4070A0"/>
    </w:rPr>
  </w:style>
  <w:style w:type="character" w:customStyle="1" w:styleId="CommentTok">
    <w:name w:val="CommentTok"/>
    <w:rPr>
      <w:i/>
      <w:color w:val="60A0B0"/>
    </w:rPr>
  </w:style>
  <w:style w:type="character" w:customStyle="1" w:styleId="CommentVarTok">
    <w:name w:val="CommentVarTok"/>
    <w:rPr>
      <w:b/>
      <w:i/>
      <w:color w:val="60A0B0"/>
    </w:rPr>
  </w:style>
  <w:style w:type="paragraph" w:customStyle="1" w:styleId="Compact">
    <w:name w:val="Compact"/>
    <w:basedOn w:val="BodyText"/>
    <w:qFormat/>
    <w:pPr>
      <w:spacing w:before="36" w:after="36" w:line="240" w:lineRule="auto"/>
      <w:jc w:val="left"/>
    </w:pPr>
    <w:rPr>
      <w:sz w:val="20"/>
      <w:szCs w:val="24"/>
      <w:lang w:val="en-US"/>
    </w:rPr>
  </w:style>
  <w:style w:type="character" w:customStyle="1" w:styleId="ConstantTok">
    <w:name w:val="ConstantTok"/>
    <w:rPr>
      <w:color w:val="880000"/>
    </w:rPr>
  </w:style>
  <w:style w:type="character" w:customStyle="1" w:styleId="ControlFlowTok">
    <w:name w:val="ControlFlowTok"/>
    <w:rPr>
      <w:b/>
      <w:color w:val="007020"/>
    </w:rPr>
  </w:style>
  <w:style w:type="character" w:customStyle="1" w:styleId="DataTypeTok">
    <w:name w:val="DataTypeTok"/>
    <w:rPr>
      <w:color w:val="902000"/>
    </w:rPr>
  </w:style>
  <w:style w:type="paragraph" w:styleId="Date">
    <w:name w:val="Date"/>
    <w:next w:val="BodyText"/>
    <w:link w:val="DateChar"/>
    <w:qFormat/>
    <w:pPr>
      <w:keepNext/>
      <w:keepLines/>
      <w:spacing w:line="240" w:lineRule="auto"/>
      <w:jc w:val="center"/>
    </w:pPr>
    <w:rPr>
      <w:sz w:val="24"/>
      <w:szCs w:val="24"/>
      <w:lang w:val="en-US"/>
    </w:rPr>
  </w:style>
  <w:style w:type="character" w:customStyle="1" w:styleId="DateChar">
    <w:name w:val="Date Char"/>
    <w:basedOn w:val="DefaultParagraphFont"/>
    <w:link w:val="Date"/>
    <w:rPr>
      <w:sz w:val="24"/>
      <w:szCs w:val="24"/>
      <w:lang w:val="en-US"/>
    </w:rPr>
  </w:style>
  <w:style w:type="character" w:customStyle="1" w:styleId="DecValTok">
    <w:name w:val="DecValTok"/>
    <w:rPr>
      <w:color w:val="40A070"/>
    </w:rPr>
  </w:style>
  <w:style w:type="paragraph" w:customStyle="1" w:styleId="Definition">
    <w:name w:val="Definition"/>
    <w:basedOn w:val="Normal"/>
    <w:pPr>
      <w:spacing w:after="200" w:line="240" w:lineRule="auto"/>
    </w:pPr>
    <w:rPr>
      <w:szCs w:val="24"/>
      <w:lang w:val="en-US"/>
    </w:rPr>
  </w:style>
  <w:style w:type="paragraph" w:customStyle="1" w:styleId="DefinitionTerm">
    <w:name w:val="Definition Term"/>
    <w:basedOn w:val="Normal"/>
    <w:next w:val="Definition"/>
    <w:pPr>
      <w:keepNext/>
      <w:keepLines/>
      <w:spacing w:after="0" w:line="240" w:lineRule="auto"/>
    </w:pPr>
    <w:rPr>
      <w:b/>
      <w:szCs w:val="24"/>
      <w:lang w:val="en-US"/>
    </w:rPr>
  </w:style>
  <w:style w:type="character" w:customStyle="1" w:styleId="DocumentationTok">
    <w:name w:val="DocumentationTok"/>
    <w:rPr>
      <w:i/>
      <w:color w:val="BA2121"/>
    </w:rPr>
  </w:style>
  <w:style w:type="character" w:customStyle="1" w:styleId="ErrorTok">
    <w:name w:val="ErrorTok"/>
    <w:rPr>
      <w:b/>
      <w:color w:val="FF0000"/>
    </w:rPr>
  </w:style>
  <w:style w:type="character" w:customStyle="1" w:styleId="ExtensionTok">
    <w:name w:val="ExtensionTok"/>
  </w:style>
  <w:style w:type="paragraph" w:customStyle="1" w:styleId="FirstParagraph">
    <w:name w:val="First Paragraph"/>
    <w:basedOn w:val="BodyText"/>
    <w:next w:val="BodyText"/>
    <w:link w:val="FirstParagraphChar"/>
    <w:qFormat/>
  </w:style>
  <w:style w:type="character" w:customStyle="1" w:styleId="FirstParagraphChar">
    <w:name w:val="First Paragraph Char"/>
    <w:basedOn w:val="BodyTextChar"/>
    <w:link w:val="FirstParagraph"/>
    <w:rPr>
      <w:lang w:val="en-GB"/>
    </w:rPr>
  </w:style>
  <w:style w:type="character" w:customStyle="1" w:styleId="FloatTok">
    <w:name w:val="FloatTok"/>
    <w:rPr>
      <w:color w:val="40A070"/>
    </w:rPr>
  </w:style>
  <w:style w:type="character" w:customStyle="1" w:styleId="FunctionTok">
    <w:name w:val="FunctionTok"/>
    <w:rPr>
      <w:color w:val="06287E"/>
    </w:rPr>
  </w:style>
  <w:style w:type="paragraph" w:customStyle="1" w:styleId="ImageCaption">
    <w:name w:val="Image Caption"/>
    <w:basedOn w:val="Caption"/>
    <w:next w:val="BodyText"/>
    <w:qFormat/>
    <w:pPr>
      <w:numPr>
        <w:numId w:val="12"/>
      </w:numPr>
      <w:spacing w:before="240" w:after="240"/>
      <w:jc w:val="center"/>
    </w:pPr>
    <w:rPr>
      <w:b w:val="0"/>
      <w:u w:val="none"/>
    </w:rPr>
  </w:style>
  <w:style w:type="character" w:customStyle="1" w:styleId="ImportTok">
    <w:name w:val="ImportTok"/>
    <w:rPr>
      <w:b/>
      <w:color w:val="008000"/>
    </w:rPr>
  </w:style>
  <w:style w:type="character" w:customStyle="1" w:styleId="InformationTok">
    <w:name w:val="InformationTok"/>
    <w:rPr>
      <w:b/>
      <w:i/>
      <w:color w:val="60A0B0"/>
    </w:rPr>
  </w:style>
  <w:style w:type="character" w:customStyle="1" w:styleId="KeywordTok">
    <w:name w:val="KeywordTok"/>
    <w:rPr>
      <w:b/>
      <w:color w:val="007020"/>
    </w:rPr>
  </w:style>
  <w:style w:type="character" w:customStyle="1" w:styleId="NormalTok">
    <w:name w:val="NormalTok"/>
  </w:style>
  <w:style w:type="character" w:customStyle="1" w:styleId="OperatorTok">
    <w:name w:val="OperatorTok"/>
    <w:rPr>
      <w:color w:val="666666"/>
    </w:rPr>
  </w:style>
  <w:style w:type="character" w:customStyle="1" w:styleId="OtherTok">
    <w:name w:val="OtherTok"/>
    <w:rPr>
      <w:color w:val="007020"/>
    </w:rPr>
  </w:style>
  <w:style w:type="character" w:customStyle="1" w:styleId="PreprocessorTok">
    <w:name w:val="PreprocessorTok"/>
    <w:rPr>
      <w:color w:val="BC7A00"/>
    </w:rPr>
  </w:style>
  <w:style w:type="character" w:customStyle="1" w:styleId="RegionMarkerTok">
    <w:name w:val="RegionMarkerTok"/>
  </w:style>
  <w:style w:type="paragraph" w:customStyle="1" w:styleId="SourceCode">
    <w:name w:val="Source Code"/>
    <w:basedOn w:val="Normal"/>
    <w:rPr>
      <w:rFonts w:ascii="Consolas" w:hAnsi="Consolas"/>
      <w:sz w:val="20"/>
    </w:rPr>
  </w:style>
  <w:style w:type="character" w:customStyle="1" w:styleId="SpecialCharTok">
    <w:name w:val="SpecialCharTok"/>
    <w:rPr>
      <w:color w:val="4070A0"/>
    </w:rPr>
  </w:style>
  <w:style w:type="character" w:customStyle="1" w:styleId="SpecialStringTok">
    <w:name w:val="SpecialStringTok"/>
    <w:rPr>
      <w:color w:val="BB6688"/>
    </w:rPr>
  </w:style>
  <w:style w:type="character" w:customStyle="1" w:styleId="StringTok">
    <w:name w:val="StringTok"/>
    <w:rPr>
      <w:color w:val="4070A0"/>
    </w:rPr>
  </w:style>
  <w:style w:type="paragraph" w:styleId="Subtitle">
    <w:name w:val="Subtitle"/>
    <w:basedOn w:val="Title"/>
    <w:next w:val="BodyText"/>
    <w:link w:val="SubtitleChar"/>
    <w:qFormat/>
    <w:pPr>
      <w:keepNext/>
      <w:keepLines/>
      <w:spacing w:before="240" w:after="240"/>
      <w:outlineLvl w:val="9"/>
    </w:pPr>
    <w:rPr>
      <w:caps w:val="0"/>
      <w:color w:val="003B63" w:themeColor="accent1" w:themeShade="B5"/>
      <w:sz w:val="30"/>
      <w:szCs w:val="30"/>
      <w:lang w:val="en-US"/>
    </w:rPr>
  </w:style>
  <w:style w:type="character" w:customStyle="1" w:styleId="SubtitleChar">
    <w:name w:val="Subtitle Char"/>
    <w:basedOn w:val="DefaultParagraphFont"/>
    <w:link w:val="Subtitle"/>
    <w:rPr>
      <w:rFonts w:asciiTheme="majorHAnsi" w:eastAsiaTheme="majorEastAsia" w:hAnsiTheme="majorHAnsi" w:cstheme="majorBidi"/>
      <w:b/>
      <w:bCs/>
      <w:color w:val="003B63" w:themeColor="accent1" w:themeShade="B5"/>
      <w:sz w:val="30"/>
      <w:szCs w:val="30"/>
      <w:lang w:val="en-US"/>
    </w:rPr>
  </w:style>
  <w:style w:type="table" w:customStyle="1" w:styleId="Table">
    <w:name w:val="Table"/>
    <w:unhideWhenUsed/>
    <w:qFormat/>
    <w:pPr>
      <w:spacing w:after="120" w:line="240" w:lineRule="auto"/>
    </w:pPr>
    <w:rPr>
      <w:sz w:val="24"/>
      <w:szCs w:val="24"/>
      <w:lang w:val="en-US" w:eastAsia="en-GB"/>
    </w:rPr>
    <w:tblPr>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rPr>
      <w:jc w:val="center"/>
    </w:trPr>
    <w:tblStylePr w:type="firstRow">
      <w:rPr>
        <w:b/>
        <w:color w:val="00558C" w:themeColor="accent1"/>
      </w:rPr>
    </w:tblStylePr>
  </w:style>
  <w:style w:type="paragraph" w:customStyle="1" w:styleId="TableCaption">
    <w:name w:val="Table Caption"/>
    <w:basedOn w:val="Caption"/>
    <w:next w:val="BodyText"/>
    <w:qFormat/>
    <w:pPr>
      <w:keepNext/>
      <w:numPr>
        <w:numId w:val="18"/>
      </w:numPr>
      <w:tabs>
        <w:tab w:val="left" w:pos="851"/>
      </w:tabs>
      <w:spacing w:before="240" w:after="240"/>
      <w:jc w:val="center"/>
    </w:pPr>
    <w:rPr>
      <w:b w:val="0"/>
      <w:u w:val="none"/>
    </w:rPr>
  </w:style>
  <w:style w:type="character" w:customStyle="1" w:styleId="VariableTok">
    <w:name w:val="VariableTok"/>
    <w:rPr>
      <w:color w:val="19177C"/>
    </w:rPr>
  </w:style>
  <w:style w:type="character" w:customStyle="1" w:styleId="VerbatimChar">
    <w:name w:val="Verbatim Char"/>
    <w:basedOn w:val="DefaultParagraphFont"/>
    <w:qFormat/>
    <w:rPr>
      <w:rFonts w:ascii="Consolas" w:hAnsi="Consolas"/>
      <w:sz w:val="20"/>
    </w:rPr>
  </w:style>
  <w:style w:type="character" w:customStyle="1" w:styleId="VerbatimStringTok">
    <w:name w:val="VerbatimStringTok"/>
    <w:rPr>
      <w:color w:val="4070A0"/>
    </w:rPr>
  </w:style>
  <w:style w:type="character" w:customStyle="1" w:styleId="WarningTok">
    <w:name w:val="WarningTok"/>
    <w:rPr>
      <w:b/>
      <w:i/>
      <w:color w:val="60A0B0"/>
    </w:rPr>
  </w:style>
  <w:style w:type="paragraph" w:styleId="ListParagraph">
    <w:name w:val="List Paragraph"/>
    <w:basedOn w:val="Normal"/>
    <w:uiPriority w:val="34"/>
    <w:pPr>
      <w:ind w:left="720"/>
      <w:contextualSpacing/>
    </w:pPr>
  </w:style>
  <w:style w:type="numbering" w:customStyle="1" w:styleId="IALABulletList">
    <w:name w:val="IALA_Bullet_List"/>
    <w:uiPriority w:val="99"/>
    <w:pPr>
      <w:numPr>
        <w:numId w:val="20"/>
      </w:numPr>
    </w:pPr>
  </w:style>
  <w:style w:type="numbering" w:customStyle="1" w:styleId="IALANumberedList">
    <w:name w:val="IALA_Numbered_List"/>
    <w:uiPriority w:val="99"/>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7.png"/><Relationship Id="rId21" Type="http://schemas.openxmlformats.org/officeDocument/2006/relationships/header" Target="header7.xml"/><Relationship Id="rId34" Type="http://schemas.openxmlformats.org/officeDocument/2006/relationships/header" Target="header1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6.png"/><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yperlink" Target="https://webstore.iec.ch/en/publication/6454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image" Target="media/image9.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image" Target="media/image8.png"/><Relationship Id="rId30" Type="http://schemas.openxmlformats.org/officeDocument/2006/relationships/hyperlink" Target="https://iho.int/uploads/user/pubs/standards/s-100/S-100_5.2.0_Final_Clean.pdf" TargetMode="External"/><Relationship Id="rId35" Type="http://schemas.openxmlformats.org/officeDocument/2006/relationships/footer" Target="footer7.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5.png"/></Relationships>
</file>

<file path=word/_rels/header12.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header3.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5.png"/></Relationships>
</file>

<file path=word/_rels/header8.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5.png"/></Relationships>
</file>

<file path=word/_rels/header9.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5.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D365F-7F09-44F5-9993-F3B1D3E46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916163-7F1B-41B4-99A7-91F526C6C518}">
  <ds:schemaRefs>
    <ds:schemaRef ds:uri="http://schemas.microsoft.com/sharepoint/v3/contenttype/forms"/>
  </ds:schemaRefs>
</ds:datastoreItem>
</file>

<file path=customXml/itemProps3.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9524FAC8-26CD-48A6-8BF8-E7B31590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14386</Words>
  <Characters>88767</Characters>
  <Application>Microsoft Office Word</Application>
  <DocSecurity>0</DocSecurity>
  <Lines>3550</Lines>
  <Paragraphs>1199</Paragraphs>
  <ScaleCrop>false</ScaleCrop>
  <Manager>IALA</Manager>
  <Company>IALA</Company>
  <LinksUpToDate>false</LinksUpToDate>
  <CharactersWithSpaces>101954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G1192 Ed1.0</dc:title>
  <dc:subject>IALA</dc:subject>
  <dc:creator>Omar Frits Eriksson</dc:creator>
  <cp:keywords/>
  <dc:description/>
  <cp:lastModifiedBy>Tom Southall</cp:lastModifiedBy>
  <cp:revision>9</cp:revision>
  <dcterms:created xsi:type="dcterms:W3CDTF">2024-02-17T15:21:00Z</dcterms:created>
  <dcterms:modified xsi:type="dcterms:W3CDTF">2026-03-24T18:14:00Z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5" name="GrammarlyDocumentId">
    <vt:lpwstr>c2bd76d5-052d-4339-8b42-730eab3e0567</vt:lpwstr>
  </property>
</Properties>
</file>